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13 / Section 13</w:t>
      </w:r>
    </w:p>
    <w:p>
      <w:pPr>
        <w:jc w:val="center"/>
      </w:pPr>
      <w:r>
        <w:rPr>
          <w:b/>
          <w:color w:val="1F3864"/>
          <w:sz w:val="26"/>
        </w:rPr>
        <w:t>13. ПРАВОВЫЕ ОСНОВЫ ПРОГРАММЫ</w:t>
      </w:r>
    </w:p>
    <w:p>
      <w:pPr>
        <w:jc w:val="center"/>
      </w:pPr>
      <w:r>
        <w:rPr>
          <w:b/>
          <w:color w:val="1F3864"/>
          <w:sz w:val="26"/>
        </w:rPr>
        <w:t>13. LEGAL BASIS OF THE PROGRAM</w:t>
      </w:r>
    </w:p>
    <w:p>
      <w:pPr>
        <w:jc w:val="center"/>
      </w:pPr>
      <w:r>
        <w:rPr>
          <w:i/>
          <w:sz w:val="17"/>
        </w:rPr>
        <w:t>Редакция 8 · 31 октября 2026 г.  ·  документ 15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jc w:val="left"/>
      </w:pPr>
      <w:r>
        <w:rPr>
          <w:rFonts w:ascii="Times New Roman" w:hAnsi="Times New Roman" w:eastAsia="Times New Roman"/>
          <w:b/>
          <w:i w:val="0"/>
          <w:color w:val="1F3A5F"/>
          <w:sz w:val="30"/>
        </w:rPr>
        <w:t>13. ПРАВОВЫЕ ОСНОВЫ ПРОГРАММЫ</w:t>
      </w:r>
    </w:p>
    <w:p>
      <w:pPr>
        <w:pageBreakBefore w:val="0"/>
        <w:spacing w:after="80" w:line="269" w:lineRule="auto"/>
        <w:ind w:firstLine="397"/>
        <w:jc w:val="both"/>
      </w:pPr>
      <w:r>
        <w:rPr>
          <w:rFonts w:ascii="Times New Roman" w:hAnsi="Times New Roman" w:eastAsia="Times New Roman"/>
          <w:b w:val="0"/>
          <w:i w:val="0"/>
          <w:color w:val="20252B"/>
          <w:sz w:val="20"/>
        </w:rPr>
        <w:t>Правовая глава отвечает на три вопроса: по каким законам живут люди внутри цилиндра; может ли станция получить статус государства; как оформляется правомерность переработки космических ресурсов для нужд программы. Изложение основано на действующем международном и российском праве по состоянию на 2026 год. Глава не является юридическим заключением и не заменяет его; она очерчивает правовую рамку, в которой инженерный проект может существовать.</w:t>
      </w:r>
    </w:p>
    <w:p>
      <w:pPr>
        <w:pStyle w:val="Heading2"/>
        <w:keepNext/>
        <w:pageBreakBefore w:val="0"/>
        <w:spacing w:after="40"/>
        <w:jc w:val="left"/>
      </w:pPr>
      <w:r>
        <w:rPr>
          <w:rFonts w:ascii="Times New Roman" w:hAnsi="Times New Roman" w:eastAsia="Times New Roman"/>
          <w:b/>
          <w:i w:val="0"/>
          <w:color w:val="2F5D83"/>
          <w:sz w:val="25"/>
        </w:rPr>
        <w:t>13.1. Что говорит действующее право</w:t>
      </w:r>
    </w:p>
    <w:p>
      <w:pPr>
        <w:pageBreakBefore w:val="0"/>
        <w:spacing w:after="80" w:line="269" w:lineRule="auto"/>
        <w:ind w:firstLine="397"/>
        <w:jc w:val="both"/>
      </w:pPr>
      <w:r>
        <w:rPr>
          <w:rFonts w:ascii="Times New Roman" w:hAnsi="Times New Roman" w:eastAsia="Times New Roman"/>
          <w:b w:val="0"/>
          <w:i w:val="0"/>
          <w:color w:val="20252B"/>
          <w:sz w:val="20"/>
        </w:rPr>
        <w:t>Основой является Договор о принципах деятельности государств по исследованию и использованию космического пространства, включая Луну и другие небесные тела, от 27 января 1967 года (Договор о космосе). Российская Федерация участвует в нём как продолжатель СССР. Для настоящего проекта существенны четыре его положения.</w:t>
      </w:r>
    </w:p>
    <w:p>
      <w:pPr>
        <w:pageBreakBefore w:val="0"/>
        <w:spacing w:after="80" w:line="269" w:lineRule="auto"/>
        <w:ind w:firstLine="397"/>
        <w:jc w:val="both"/>
      </w:pPr>
      <w:r>
        <w:rPr>
          <w:rFonts w:ascii="Times New Roman" w:hAnsi="Times New Roman" w:eastAsia="Times New Roman"/>
          <w:b w:val="0"/>
          <w:i w:val="0"/>
          <w:color w:val="20252B"/>
          <w:sz w:val="20"/>
        </w:rPr>
        <w:t>Статья II: космическое пространство, включая Луну и другие небесные тела, не подлежит национальному присвоению ни путём провозглашения на них суверенитета, ни путём использования или оккупации, ни любыми другими средствами. Астероид (6178) 1986 DA, (24) Themis, (10) Hygiea присвоить нельзя никому — ни государству, ни организации, ни человеку.</w:t>
      </w:r>
    </w:p>
    <w:p>
      <w:pPr>
        <w:pageBreakBefore w:val="0"/>
        <w:spacing w:after="80" w:line="269" w:lineRule="auto"/>
        <w:ind w:firstLine="397"/>
        <w:jc w:val="both"/>
      </w:pPr>
      <w:r>
        <w:rPr>
          <w:rFonts w:ascii="Times New Roman" w:hAnsi="Times New Roman" w:eastAsia="Times New Roman"/>
          <w:b w:val="0"/>
          <w:i w:val="0"/>
          <w:color w:val="20252B"/>
          <w:sz w:val="20"/>
        </w:rPr>
        <w:t>Статья VI: государства несут международную ответственность за национальную деятельность в космосе, осуществляемую в том числе неправительственными юридическими лицами, и такая деятельность должна проводиться с разрешения и под постоянным наблюдением соответствующего государства-участника. Иными словами, частной космической деятельности вне государства не существует: за любой запуск отвечает конкретная страна.</w:t>
      </w:r>
    </w:p>
    <w:p>
      <w:pPr>
        <w:pageBreakBefore w:val="0"/>
        <w:spacing w:after="80" w:line="269" w:lineRule="auto"/>
        <w:ind w:firstLine="397"/>
        <w:jc w:val="both"/>
      </w:pPr>
      <w:r>
        <w:rPr>
          <w:rFonts w:ascii="Times New Roman" w:hAnsi="Times New Roman" w:eastAsia="Times New Roman"/>
          <w:b w:val="0"/>
          <w:i w:val="0"/>
          <w:color w:val="20252B"/>
          <w:sz w:val="20"/>
        </w:rPr>
        <w:t>Статья VIII: государство, в регистр которого занесён космический объект, сохраняет юрисдикцию и контроль над этим объектом и его экипажем во время нахождения в космосе. Именно эта статья, а не рассуждения о суверенитете, отвечает на вопрос о законах внутри цилиндра.</w:t>
      </w:r>
    </w:p>
    <w:p>
      <w:pPr>
        <w:pageBreakBefore w:val="0"/>
        <w:spacing w:after="80" w:line="269" w:lineRule="auto"/>
        <w:ind w:firstLine="397"/>
        <w:jc w:val="both"/>
      </w:pPr>
      <w:r>
        <w:rPr>
          <w:rFonts w:ascii="Times New Roman" w:hAnsi="Times New Roman" w:eastAsia="Times New Roman"/>
          <w:b w:val="0"/>
          <w:i w:val="0"/>
          <w:color w:val="20252B"/>
          <w:sz w:val="20"/>
        </w:rPr>
        <w:t>Конвенция о регистрации объектов, запускаемых в космическое пространство, 1975 года, обязывает вносить объект в национальный регистр и уведомлять Генерального секретаря ООН. Конвенция о международной ответственности за ущерб, причинённый космическими объектами, 1972 года, возлагает ответственность за ущерб на запускающее государство.</w:t>
      </w:r>
    </w:p>
    <w:p>
      <w:pPr>
        <w:pStyle w:val="Heading2"/>
        <w:keepNext/>
        <w:pageBreakBefore w:val="0"/>
        <w:spacing w:after="40"/>
        <w:jc w:val="left"/>
      </w:pPr>
      <w:r>
        <w:rPr>
          <w:rFonts w:ascii="Times New Roman" w:hAnsi="Times New Roman" w:eastAsia="Times New Roman"/>
          <w:b/>
          <w:i w:val="0"/>
          <w:color w:val="2F5D83"/>
          <w:sz w:val="25"/>
        </w:rPr>
        <w:t>13.2. По каким законам живут внутри цилиндра</w:t>
      </w:r>
    </w:p>
    <w:p>
      <w:pPr>
        <w:pageBreakBefore w:val="0"/>
        <w:spacing w:after="80" w:line="269" w:lineRule="auto"/>
        <w:ind w:firstLine="397"/>
        <w:jc w:val="both"/>
      </w:pPr>
      <w:r>
        <w:rPr>
          <w:rFonts w:ascii="Times New Roman" w:hAnsi="Times New Roman" w:eastAsia="Times New Roman"/>
          <w:b w:val="0"/>
          <w:i w:val="0"/>
          <w:color w:val="20252B"/>
          <w:sz w:val="20"/>
        </w:rPr>
        <w:t>До договорного перехода жители живут по праву государства регистрации и локальным нормативным актам оператора. По мере создания органов автономии локальное право преобразуется в право Солнечноградской федерации, согласованное с международными обязательствами и договорами с государством регистрации. Земные кодексы не применяются автоматически после перехода: они действуют только в пределах прямой рецепции или договора.</w:t>
      </w:r>
    </w:p>
    <w:p>
      <w:pPr>
        <w:pageBreakBefore w:val="0"/>
        <w:spacing w:after="80" w:line="269" w:lineRule="auto"/>
        <w:ind w:firstLine="397"/>
        <w:jc w:val="both"/>
      </w:pPr>
      <w:r>
        <w:rPr>
          <w:rFonts w:ascii="Times New Roman" w:hAnsi="Times New Roman" w:eastAsia="Times New Roman"/>
          <w:b w:val="0"/>
          <w:i w:val="0"/>
          <w:color w:val="20252B"/>
          <w:sz w:val="20"/>
        </w:rPr>
        <w:t>Отличие станции от модуля МКС не правовое, а количественное: миллион жителей, рождения и смерти, собственность, семейные и трудовые отношения, споры между людьми. Российское право применимо ко всему этому без изъятий, но потребует подзаконного развития по трём направлениям: порядок регистрации актов гражданского состояния на борту, особенности осуществления судопроизводства при задержке связи с Землёй, санитарные и градостроительные нормы для замкнутого объёма, которых в земных кодексах нет. Это работа нормотворческая, а не конституционная.</w:t>
      </w:r>
    </w:p>
    <w:p>
      <w:pPr>
        <w:pageBreakBefore w:val="0"/>
        <w:spacing w:after="80" w:line="269" w:lineRule="auto"/>
        <w:ind w:firstLine="397"/>
        <w:jc w:val="both"/>
      </w:pPr>
      <w:r>
        <w:rPr>
          <w:rFonts w:ascii="Times New Roman" w:hAnsi="Times New Roman" w:eastAsia="Times New Roman"/>
          <w:b w:val="0"/>
          <w:i w:val="0"/>
          <w:color w:val="20252B"/>
          <w:sz w:val="20"/>
        </w:rPr>
        <w:t>Практический вывод для проекта: внутренние правила станции оформляются не как «законы космического государства», а как локальные нормативные акты — устав станции, правила внутреннего распорядка, регламенты безопасности, — действующие в рамках российского права и утверждаемые оператором станции. Юридически это та же конструкция, что и правила на морском судне под флагом.</w:t>
      </w:r>
    </w:p>
    <w:p>
      <w:pPr>
        <w:pStyle w:val="Heading2"/>
        <w:keepNext/>
        <w:pageBreakBefore w:val="0"/>
        <w:spacing w:after="40"/>
        <w:jc w:val="left"/>
      </w:pPr>
      <w:r>
        <w:rPr>
          <w:rFonts w:ascii="Times New Roman" w:hAnsi="Times New Roman" w:eastAsia="Times New Roman"/>
          <w:b/>
          <w:i w:val="0"/>
          <w:color w:val="2F5D83"/>
          <w:sz w:val="25"/>
        </w:rPr>
        <w:t>13.3. Можно ли объявить станцию государством</w:t>
      </w:r>
    </w:p>
    <w:p>
      <w:pPr>
        <w:pageBreakBefore w:val="0"/>
        <w:spacing w:after="80" w:line="269" w:lineRule="auto"/>
        <w:ind w:firstLine="397"/>
        <w:jc w:val="both"/>
      </w:pPr>
      <w:r>
        <w:rPr>
          <w:rFonts w:ascii="Times New Roman" w:hAnsi="Times New Roman" w:eastAsia="Times New Roman"/>
          <w:b w:val="0"/>
          <w:i w:val="0"/>
          <w:color w:val="20252B"/>
          <w:sz w:val="20"/>
        </w:rPr>
        <w:t>Одностороннее провозглашение не создаёт государство автоматически. Даже если станцию доставит сторонняя космическая организация по отдельному договору с автором проекта, это означает разделение ролей подрядчика и будущего оператора, а не приобретение территории. Статья II Договора о космосе запрещает присвоение космического пространства и небесных тел путём провозглашения суверенитета, использования, оккупации или иными средствами; отсутствие собственника астероида не является разрешением объявить его территорией. Станция сохраняет статус зарегистрированного космического объекта, а юрисдикция и контроль государства регистрации по статье VIII и ответственность государства за национальную деятельность по статье VI сохраняются. Долгосрочная цель проекта состоит поэтому не в декларации без оснований, а в договорном переходе к государственности после формирования постоянного населения, органов власти, собственной правовой системы и способности выполнять внешние обязательства.</w:t>
      </w:r>
    </w:p>
    <w:p>
      <w:pPr>
        <w:pageBreakBefore w:val="0"/>
        <w:spacing w:after="80" w:line="269" w:lineRule="auto"/>
        <w:ind w:firstLine="397"/>
        <w:jc w:val="both"/>
      </w:pPr>
      <w:r>
        <w:rPr>
          <w:rFonts w:ascii="Times New Roman" w:hAnsi="Times New Roman" w:eastAsia="Times New Roman"/>
          <w:b w:val="0"/>
          <w:i w:val="0"/>
          <w:color w:val="20252B"/>
          <w:sz w:val="20"/>
        </w:rPr>
        <w:t>Попытка провозгласить независимость без договора с государством регистрации, без согласования юрисдикции и без международного признания привела бы не к немедленному появлению государства, а к конфликту с действующими обязанностями по космическому объекту. Декларация может быть политическим заявлением, но сама по себе не отменяет статью II, регистрацию, лицензии, радиочастотные правила, ответственность и контроль государства регистрации. Поэтому переход должен быть поэтапным: операторская администрация, переходная автономия, конституционное самоуправление, затем заявление о государственности и запрос признания.</w:t>
      </w:r>
    </w:p>
    <w:p>
      <w:pPr>
        <w:pageBreakBefore w:val="0"/>
        <w:spacing w:after="80" w:line="269" w:lineRule="auto"/>
        <w:ind w:firstLine="397"/>
        <w:jc w:val="both"/>
      </w:pPr>
      <w:r>
        <w:rPr>
          <w:rFonts w:ascii="Times New Roman" w:hAnsi="Times New Roman" w:eastAsia="Times New Roman"/>
          <w:b w:val="0"/>
          <w:i w:val="0"/>
          <w:color w:val="20252B"/>
          <w:sz w:val="20"/>
        </w:rPr>
        <w:t>Практическая форма на ранних этапах — международный консорциум с государством регистрации и договорной юрисдикцией. Целевая форма после переходного периода — Солнечноградская федерация как отдельное государство с полным внутренним суверенитетом. Собственный суверенитет относится к управлению станцией, её жителями, инфраструктурой и внутренними системами; он не означает присвоения космического пространства или астероидов.</w:t>
      </w:r>
    </w:p>
    <w:p>
      <w:pPr>
        <w:pStyle w:val="Heading2"/>
        <w:keepNext/>
        <w:pageBreakBefore w:val="0"/>
        <w:spacing w:after="40"/>
        <w:jc w:val="left"/>
      </w:pPr>
      <w:r>
        <w:rPr>
          <w:rFonts w:ascii="Times New Roman" w:hAnsi="Times New Roman" w:eastAsia="Times New Roman"/>
          <w:b/>
          <w:i w:val="0"/>
          <w:color w:val="2F5D83"/>
          <w:sz w:val="25"/>
        </w:rPr>
        <w:t>13.4. Космические ресурсы: как объявить их переработку</w:t>
      </w:r>
    </w:p>
    <w:p>
      <w:pPr>
        <w:pageBreakBefore w:val="0"/>
        <w:spacing w:after="80" w:line="269" w:lineRule="auto"/>
        <w:ind w:firstLine="397"/>
        <w:jc w:val="both"/>
      </w:pPr>
      <w:r>
        <w:rPr>
          <w:rFonts w:ascii="Times New Roman" w:hAnsi="Times New Roman" w:eastAsia="Times New Roman"/>
          <w:b w:val="0"/>
          <w:i w:val="0"/>
          <w:color w:val="20252B"/>
          <w:sz w:val="20"/>
        </w:rPr>
        <w:t>Здесь право находится в состоянии, которое следует назвать прямо: единого решения нет, вопрос спорный, и утверждать обратное было бы неправдой.</w:t>
      </w:r>
    </w:p>
    <w:p>
      <w:pPr>
        <w:pageBreakBefore w:val="0"/>
        <w:spacing w:after="80" w:line="269" w:lineRule="auto"/>
        <w:ind w:firstLine="397"/>
        <w:jc w:val="both"/>
      </w:pPr>
      <w:r>
        <w:rPr>
          <w:rFonts w:ascii="Times New Roman" w:hAnsi="Times New Roman" w:eastAsia="Times New Roman"/>
          <w:b w:val="0"/>
          <w:i w:val="0"/>
          <w:color w:val="20252B"/>
          <w:sz w:val="20"/>
        </w:rPr>
        <w:t>Первая позиция, которой придерживается в том числе Российская Федерация: запрет присвоения по статье II распространяется и на ресурсы небесных тел, поскольку Договор не разделяет тело и его вещество; необходим международный режим, регулирующий добычу. МИД России и Роскосмос выносили на Юридический подкомитет Комитета ООН по космосу предложение о разработке имплементационного соглашения к Договору, которое сделало бы запрет обязательным без возможности обхода национальным законодательством.</w:t>
      </w:r>
    </w:p>
    <w:p>
      <w:pPr>
        <w:pageBreakBefore w:val="0"/>
        <w:spacing w:after="80" w:line="269" w:lineRule="auto"/>
        <w:ind w:firstLine="397"/>
        <w:jc w:val="both"/>
      </w:pPr>
      <w:r>
        <w:rPr>
          <w:rFonts w:ascii="Times New Roman" w:hAnsi="Times New Roman" w:eastAsia="Times New Roman"/>
          <w:b w:val="0"/>
          <w:i w:val="0"/>
          <w:color w:val="20252B"/>
          <w:sz w:val="20"/>
        </w:rPr>
        <w:t>Вторая позиция: запрет адресован государствам и касается присвоения самих небесных тел, а не извлечённого из них вещества; добыча есть использование, а не присвоение. На этом толковании основаны Закон США о конкурентоспособности коммерческих космических запусков 2015 года, закон Люксембурга от 20 июля 2017 года и пункт 2 раздела 10 Соглашений Артемиды, прямо утверждающий, что извлечение космических ресурсов не является национальным присвоением по статье II.</w:t>
      </w:r>
    </w:p>
    <w:p>
      <w:pPr>
        <w:pageBreakBefore w:val="0"/>
        <w:spacing w:after="80" w:line="269" w:lineRule="auto"/>
        <w:ind w:firstLine="397"/>
        <w:jc w:val="both"/>
      </w:pPr>
      <w:r>
        <w:rPr>
          <w:rFonts w:ascii="Times New Roman" w:hAnsi="Times New Roman" w:eastAsia="Times New Roman"/>
          <w:b w:val="0"/>
          <w:i w:val="0"/>
          <w:color w:val="20252B"/>
          <w:sz w:val="20"/>
        </w:rPr>
        <w:t>Что из этого следует для личного проекта. Объявлять в одностороннем порядке о праве на переработку астероидного вещества не следует — такое заявление не имеет правовых последствий и способно повредить проекту. Правомерный путь состоит из трёх связанных шагов: разрешение и надзор государства или государств, подпадающих под юрисдикцию запуска и регистрации; регистрация объекта; и правовое обоснование использования ресурсов. Автор проекта на личной стадии не является оператором космической деятельности. Запуск и доставку выполняет сторонняя космическая организация, а сборка и эксплуатация требуют отдельного юридического лица или иного допущенного оператора. Российская регистрация автора как физического лица не заменяет отдельную регистрацию самой станции как космического объекта и не отменяет согласование государства регистрации с государствами запуска.</w:t>
      </w:r>
    </w:p>
    <w:p>
      <w:pPr>
        <w:pageBreakBefore w:val="0"/>
        <w:spacing w:after="80" w:line="269" w:lineRule="auto"/>
        <w:ind w:firstLine="397"/>
        <w:jc w:val="both"/>
      </w:pPr>
      <w:r>
        <w:rPr>
          <w:rFonts w:ascii="Times New Roman" w:hAnsi="Times New Roman" w:eastAsia="Times New Roman"/>
          <w:b w:val="0"/>
          <w:i w:val="0"/>
          <w:color w:val="20252B"/>
          <w:sz w:val="20"/>
        </w:rPr>
        <w:t>Первый: лицензия нужна не для «владения астероидом» и не доказывает право собственности на него. Она требуется потому, что запуск, доставка, сборка и эксплуатация космического объекта, управление им, работа радиосредств, ядерных или иных энергетических установок, а также распределение ответственности, страхование, экспортный контроль и аварийный надзор относятся к космической деятельности, которая по статье VI должна осуществляться с разрешения и под постоянным наблюдением соответствующего государства. Автор проекта как физическое лицо не может заменить лицензируемого оператора. До начала сборки должен быть выбран или создан оператор — юридическое лицо, соответствующее лицензионным требованиям и оформляющее российскую лицензию либо иные разрешения по Закону Российской Федерации «О космической деятельности» от 20 августа 1993 года № 5663-I и применимым правилам лицензирования. Сторонняя космическая организация получает отдельные разрешения на запуск и доставку в применимой юрисдикции. Если используются радиоизотопные, ядерные или иные опасные энергетические установки, для них требуются дополнительные специальные разрешения и надзор. Договоры могут распределить расходы и возмещение убытков, но не отменяют международной ответственности соответствующих государств. Сам астероид при этом не становится чьей-либо территорией.</w:t>
      </w:r>
    </w:p>
    <w:p>
      <w:pPr>
        <w:pageBreakBefore w:val="0"/>
        <w:spacing w:after="80" w:line="269" w:lineRule="auto"/>
        <w:ind w:firstLine="397"/>
        <w:jc w:val="both"/>
      </w:pPr>
      <w:r>
        <w:rPr>
          <w:rFonts w:ascii="Times New Roman" w:hAnsi="Times New Roman" w:eastAsia="Times New Roman"/>
          <w:b w:val="0"/>
          <w:i w:val="0"/>
          <w:color w:val="20252B"/>
          <w:sz w:val="20"/>
        </w:rPr>
        <w:t>Второй: станция и добывающие аппараты вносятся в национальный регистр космических объектов, о чём уведомляется Генеральный секретарь ООН согласно Конвенции 1975 года. Российская регистрация автора как физического лица сама по себе не является регистрацией станции. Оператор и государство регистрации станции должны быть отдельно определены с учётом государств запуска, организации, которая заказывает или обеспечивает запуск, территории или объекта запуска, а также соглашений между участниками. После такого определения именно государство регистрации получает юрисдикцию и контроль по статье VIII, а выбранный оператор действует под разрешением и надзором соответствующей российской стороны и в пределах согласованной международной схемы.</w:t>
      </w:r>
    </w:p>
    <w:p>
      <w:pPr>
        <w:pageBreakBefore w:val="0"/>
        <w:spacing w:after="80" w:line="269" w:lineRule="auto"/>
        <w:ind w:firstLine="397"/>
        <w:jc w:val="both"/>
      </w:pPr>
      <w:r>
        <w:rPr>
          <w:rFonts w:ascii="Times New Roman" w:hAnsi="Times New Roman" w:eastAsia="Times New Roman"/>
          <w:b w:val="0"/>
          <w:i w:val="0"/>
          <w:color w:val="20252B"/>
          <w:sz w:val="20"/>
        </w:rPr>
        <w:t>Третий: переработка вещества заявляется не как присвоение астероида, а как использование ресурсов для обеспечения собственной деятельности в космосе. Такое использование прямо предусмотрено и наименее спорно: даже строгое толкование статьи II допускает использование природных ресурсов для обеспечения установок на небесных телах. Программа не продаёт астероидное вещество на Земле и не заявляет прав на сами тела — она перерабатывает вещество на месте для постройки станции. Это принципиально более защитимая позиция, чем коммерческая добыча.</w:t>
      </w:r>
    </w:p>
    <w:p>
      <w:pPr>
        <w:pageBreakBefore w:val="0"/>
        <w:spacing w:after="80" w:line="269" w:lineRule="auto"/>
        <w:ind w:firstLine="397"/>
        <w:jc w:val="both"/>
      </w:pPr>
      <w:r>
        <w:rPr>
          <w:rFonts w:ascii="Times New Roman" w:hAnsi="Times New Roman" w:eastAsia="Times New Roman"/>
          <w:b w:val="0"/>
          <w:i w:val="0"/>
          <w:color w:val="20252B"/>
          <w:sz w:val="20"/>
        </w:rPr>
        <w:t>Долгосрочно проекту такого масштаба потребуется международное соглашение — в форме имплементационного соглашения к Договору 1967 года либо отдельного договора о крупных космических поселениях. Инициировать его может только государство. Задача программы на нынешнем этапе — быть готовой предоставить техническое обоснование, когда такая работа начнётся.</w:t>
      </w:r>
    </w:p>
    <w:p>
      <w:pPr>
        <w:pStyle w:val="Heading2"/>
        <w:keepNext/>
        <w:pageBreakBefore w:val="0"/>
        <w:spacing w:after="40"/>
        <w:jc w:val="left"/>
      </w:pPr>
      <w:r>
        <w:rPr>
          <w:rFonts w:ascii="Times New Roman" w:hAnsi="Times New Roman" w:eastAsia="Times New Roman"/>
          <w:b/>
          <w:i w:val="0"/>
          <w:color w:val="2F5D83"/>
          <w:sz w:val="25"/>
        </w:rPr>
        <w:t>13.5. Правовое положение руководителя проекта</w:t>
      </w:r>
    </w:p>
    <w:p>
      <w:pPr>
        <w:pageBreakBefore w:val="0"/>
        <w:spacing w:after="80" w:line="269" w:lineRule="auto"/>
        <w:ind w:firstLine="397"/>
        <w:jc w:val="both"/>
      </w:pPr>
      <w:r>
        <w:rPr>
          <w:rFonts w:ascii="Times New Roman" w:hAnsi="Times New Roman" w:eastAsia="Times New Roman"/>
          <w:b w:val="0"/>
          <w:i w:val="0"/>
          <w:color w:val="20252B"/>
          <w:sz w:val="20"/>
        </w:rPr>
        <w:t>Раздел отвечает на прямой вопрос Романа Сергеевича Бугаенко, гражданина Российской Федерации, которому семнадцать лет. Ответ даётся по действующему российскому законодательству.</w:t>
      </w:r>
    </w:p>
    <w:p>
      <w:pPr>
        <w:pageBreakBefore w:val="0"/>
        <w:spacing w:after="80" w:line="269" w:lineRule="auto"/>
        <w:ind w:firstLine="397"/>
        <w:jc w:val="both"/>
      </w:pPr>
      <w:r>
        <w:rPr>
          <w:rFonts w:ascii="Times New Roman" w:hAnsi="Times New Roman" w:eastAsia="Times New Roman"/>
          <w:b w:val="0"/>
          <w:i w:val="0"/>
          <w:color w:val="20252B"/>
          <w:sz w:val="20"/>
        </w:rPr>
        <w:t>В российском правовом поле лицензия на космическую деятельность выдаётся только юридическим лицам; физическое лицо соискателем быть не может независимо от возраста. Автор проекта участвует как физическое лицо и не является самостоятельным оператором космического объекта. До сборки и эксплуатации необходимо создать или выбрать российское операторское юридическое лицо либо иного допущенного оператора, привести его структуру, специалистов, помещения, оборудование и заявленные работы в соответствие с лицензионными требованиями и оформить необходимые разрешения. До этого личный проект остаётся инженерной разработкой, а не космической деятельностью в смысле закона. Это организационное действие не означает приобретения суверенитета над станцией или астероидом.</w:t>
      </w:r>
    </w:p>
    <w:p>
      <w:pPr>
        <w:pageBreakBefore w:val="0"/>
        <w:spacing w:after="80" w:line="269" w:lineRule="auto"/>
        <w:ind w:firstLine="397"/>
        <w:jc w:val="both"/>
      </w:pPr>
      <w:r>
        <w:rPr>
          <w:rFonts w:ascii="Times New Roman" w:hAnsi="Times New Roman" w:eastAsia="Times New Roman"/>
          <w:b w:val="0"/>
          <w:i w:val="0"/>
          <w:color w:val="20252B"/>
          <w:sz w:val="20"/>
        </w:rPr>
        <w:t>Авторские права возрастом не ограничены. Право авторства на проектную документацию возникает у Романа Бугаенко в момент её создания и не зависит ни от регистрации, ни от совершеннолетия; статья 26 Гражданского кодекса прямо закрепляет за несовершеннолетними с четырнадцати лет право самостоятельно осуществлять права автора произведения науки. Настоящий документ защищён с момента создания, лицензия Proprietary Source-Visible License v1.0 действует с 17.08.2026 бессрочно.</w:t>
      </w:r>
    </w:p>
    <w:p>
      <w:pPr>
        <w:pageBreakBefore w:val="0"/>
        <w:spacing w:after="80" w:line="269" w:lineRule="auto"/>
        <w:ind w:firstLine="397"/>
        <w:jc w:val="both"/>
      </w:pPr>
      <w:r>
        <w:rPr>
          <w:rFonts w:ascii="Times New Roman" w:hAnsi="Times New Roman" w:eastAsia="Times New Roman"/>
          <w:b w:val="0"/>
          <w:i w:val="0"/>
          <w:color w:val="20252B"/>
          <w:sz w:val="20"/>
        </w:rPr>
        <w:t>Практический вывод. Ближайшие правовые действия, доступные уже сейчас: фиксация авторства, депонирование документации, участие в конкурсах и программах через образовательную организацию или молодёжное движение. Действия, требующие восемнадцати лет или эмансипации: учреждение юридического лица, подача заявления на лицензию, заключение договоров от своего имени. Порядок именно таков, и обойти его нельзя; но и необходимости обходить нет, поскольку на нынешней стадии проект есть инженерная разработка, а не космическая деятельность в смысле закона.</w:t>
      </w:r>
    </w:p>
    <w:p>
      <w:pPr>
        <w:pStyle w:val="Heading2"/>
        <w:keepNext/>
        <w:pageBreakBefore w:val="0"/>
        <w:spacing w:after="40"/>
        <w:jc w:val="left"/>
      </w:pPr>
      <w:r>
        <w:rPr>
          <w:rFonts w:ascii="Times New Roman" w:hAnsi="Times New Roman" w:eastAsia="Times New Roman"/>
          <w:b/>
          <w:i w:val="0"/>
          <w:color w:val="2F5D83"/>
          <w:sz w:val="25"/>
        </w:rPr>
        <w:t>13.6. Целевая модель государственности Солнечноградской федерации</w:t>
      </w:r>
    </w:p>
    <w:p>
      <w:pPr>
        <w:pageBreakBefore w:val="0"/>
        <w:spacing w:after="80" w:line="269" w:lineRule="auto"/>
        <w:ind w:firstLine="397"/>
        <w:jc w:val="both"/>
      </w:pPr>
      <w:r>
        <w:rPr>
          <w:rFonts w:ascii="Times New Roman" w:hAnsi="Times New Roman" w:eastAsia="Times New Roman"/>
          <w:b w:val="0"/>
          <w:i w:val="0"/>
          <w:color w:val="20252B"/>
          <w:sz w:val="20"/>
        </w:rPr>
        <w:t>Солнечноградская федерация проектируется как отдельное государство с полным внутренним суверенитетом. Это целевая политико-правовая модель, а не односторонняя декларация и не юридическое заключение. Полный внутренний суверенитет означает собственные конституцию, каталог основных прав, законодательную, исполнительную и судебную ветви власти, бюджет, налоги, режим безопасности, гражданскую оборону и аварийное управление. Суверенитет относится к станции, её жителям, инфраструктуре и внутренним системам; космическое пространство и астероиды не объявляются территорией или собственностью Солнечноградской федерации.</w:t>
      </w:r>
    </w:p>
    <w:p>
      <w:pPr>
        <w:pageBreakBefore w:val="0"/>
        <w:spacing w:after="80" w:line="269" w:lineRule="auto"/>
        <w:ind w:firstLine="397"/>
        <w:jc w:val="both"/>
      </w:pPr>
      <w:r>
        <w:rPr>
          <w:rFonts w:ascii="Times New Roman" w:hAnsi="Times New Roman" w:eastAsia="Times New Roman"/>
          <w:b w:val="0"/>
          <w:i w:val="0"/>
          <w:color w:val="20252B"/>
          <w:sz w:val="20"/>
        </w:rPr>
        <w:t>Для создания государства на станции одной декларации независимости недостаточно. В традиционной международно-правовой модели учитываются постоянное население, определённая территория, эффективное правительство и способность вступать в отношения с другими государствами. Эти признаки служат ориентиром, но не превращают политическое заявление в государственность автоматически и не отменяют действующие договоры.</w:t>
      </w:r>
    </w:p>
    <w:p>
      <w:pPr>
        <w:pageBreakBefore w:val="0"/>
        <w:spacing w:after="80" w:line="269" w:lineRule="auto"/>
        <w:ind w:firstLine="397"/>
        <w:jc w:val="both"/>
      </w:pPr>
      <w:r>
        <w:rPr>
          <w:rFonts w:ascii="Times New Roman" w:hAnsi="Times New Roman" w:eastAsia="Times New Roman"/>
          <w:b w:val="0"/>
          <w:i w:val="0"/>
          <w:color w:val="20252B"/>
          <w:sz w:val="20"/>
        </w:rPr>
        <w:t>Особенность станции состоит в территориальном критерии. Станция может быть точно определённым космическим объектом, иметь собственные границы доступа, органы управления и внутреннюю юрисдикцию, но астероид и космическая среда не становятся территорией Солнечноградской федерации. Статья II Договора о космосе запрещает национальное присвоение небесных тел посредством провозглашения суверенитета, использования, оккупации или иными средствами. Поэтому автор проекта и будущая федерация не могут своим решением превратить астероид в государственную территорию или автоматически приобрести на него право собственности.</w:t>
      </w:r>
    </w:p>
    <w:p>
      <w:pPr>
        <w:pageBreakBefore w:val="0"/>
        <w:spacing w:after="80" w:line="269" w:lineRule="auto"/>
        <w:ind w:firstLine="397"/>
        <w:jc w:val="both"/>
      </w:pPr>
      <w:r>
        <w:rPr>
          <w:rFonts w:ascii="Times New Roman" w:hAnsi="Times New Roman" w:eastAsia="Times New Roman"/>
          <w:b w:val="0"/>
          <w:i w:val="0"/>
          <w:color w:val="20252B"/>
          <w:sz w:val="20"/>
        </w:rPr>
        <w:t>Минимальный правовой пакет для перехода от станции к государству включает: зарегистрированного оператора проекта; постоянное население; временную хартию, а затем конституцию; выборные органы; независимый суд; правила гражданства и натурализации; устойчивый бюджет и систему безопасности; договор с государством регистрации о переходной автономии; отдельные соглашения о юрисдикции, регистрации космического объекта, гражданстве, спасении, торговле, связи и международной ответственности; способность заключать внешние договоры и выполнять их.</w:t>
      </w:r>
    </w:p>
    <w:p>
      <w:pPr>
        <w:pageBreakBefore w:val="0"/>
        <w:spacing w:after="80" w:line="269" w:lineRule="auto"/>
        <w:ind w:firstLine="397"/>
        <w:jc w:val="both"/>
      </w:pPr>
      <w:r>
        <w:rPr>
          <w:rFonts w:ascii="Times New Roman" w:hAnsi="Times New Roman" w:eastAsia="Times New Roman"/>
          <w:b w:val="0"/>
          <w:i w:val="0"/>
          <w:color w:val="20252B"/>
          <w:sz w:val="20"/>
        </w:rPr>
        <w:t>Практическая последовательность такова. Сначала автор проекта действует как физическое лицо, а будущий оператор станции получает необходимые разрешения и действует по правилам государства регистрации. Затем создаётся договорная автономия с собственными органами самоуправления. После формирования постоянного населения и устойчивой конституционной системы стороны могут согласовать изменение или передачу части юрисдикции. Только после такого соглашения возможны заявление о государственности, запрос международного признания и, при наличии политической поддержки, обращение за членством в международных организациях. До передачи юрисдикции «Солнечноградская федерация» является целевой политико-правовой моделью или договорной автономией, а не односторонне возникшим государством.</w:t>
      </w:r>
    </w:p>
    <w:p>
      <w:pPr>
        <w:pStyle w:val="Heading2"/>
        <w:keepNext/>
        <w:pageBreakBefore w:val="0"/>
        <w:spacing w:after="40"/>
        <w:jc w:val="left"/>
      </w:pPr>
      <w:r>
        <w:rPr>
          <w:rFonts w:ascii="Times New Roman" w:hAnsi="Times New Roman" w:eastAsia="Times New Roman"/>
          <w:b/>
          <w:i w:val="0"/>
          <w:color w:val="2F5D83"/>
          <w:sz w:val="25"/>
        </w:rPr>
        <w:t>13.7. Двойной контур гражданства</w:t>
      </w:r>
    </w:p>
    <w:p>
      <w:pPr>
        <w:pageBreakBefore w:val="0"/>
        <w:spacing w:after="80" w:line="269" w:lineRule="auto"/>
        <w:ind w:firstLine="397"/>
        <w:jc w:val="both"/>
      </w:pPr>
      <w:r>
        <w:rPr>
          <w:rFonts w:ascii="Times New Roman" w:hAnsi="Times New Roman" w:eastAsia="Times New Roman"/>
          <w:b w:val="0"/>
          <w:i w:val="0"/>
          <w:color w:val="20252B"/>
          <w:sz w:val="20"/>
        </w:rPr>
        <w:t>Гражданство Солнечноградской федерации является самостоятельным политико-правовым статусом и не требует автоматического отказа от исходного гражданства Земли. Постоянный житель получает путь к натурализации через срок проживания, знание конституции и правил станции, гражданскую присягу и проверку дееспособности. Происхождение, рождение и семейная связь могут давать упрощённую регистрацию; произвольное лишение гражданства запрещается, а выход возможен при наличии другого правового статуса. Автоматическое гражданство по рождению, минимальный срок натурализации и статус детей смешанных семей устанавливаются будущей конституцией.</w:t>
      </w:r>
    </w:p>
    <w:p>
      <w:pPr>
        <w:pStyle w:val="Heading2"/>
        <w:keepNext/>
        <w:pageBreakBefore w:val="0"/>
        <w:spacing w:after="40"/>
        <w:jc w:val="left"/>
      </w:pPr>
      <w:r>
        <w:rPr>
          <w:rFonts w:ascii="Times New Roman" w:hAnsi="Times New Roman" w:eastAsia="Times New Roman"/>
          <w:b/>
          <w:i w:val="0"/>
          <w:color w:val="2F5D83"/>
          <w:sz w:val="25"/>
        </w:rPr>
        <w:t>13.8. Гибридная правовая система</w:t>
      </w:r>
    </w:p>
    <w:p>
      <w:pPr>
        <w:pageBreakBefore w:val="0"/>
        <w:spacing w:after="80" w:line="269" w:lineRule="auto"/>
        <w:ind w:firstLine="397"/>
        <w:jc w:val="both"/>
      </w:pPr>
      <w:r>
        <w:rPr>
          <w:rFonts w:ascii="Times New Roman" w:hAnsi="Times New Roman" w:eastAsia="Times New Roman"/>
          <w:b w:val="0"/>
          <w:i w:val="0"/>
          <w:color w:val="20252B"/>
          <w:sz w:val="20"/>
        </w:rPr>
        <w:t>Основой становится собственная конституция Солнечноградской федерации, согласованная с обязательными нормами международного права. Собственное право регулирует жизнедеятельность замкнутой станции, труд, жильё, медицину, образование, социальные гарантии, распределение ресурсов, налоги, промышленность, безопасность, выборы, чрезвычайное положение и суды. Земные кодексы не применяются автоматически: они действуют только если включены в право Солнечноградской федерации законом о рецепции или международным договором. Обязательны независимый суд, судебный пересмотр администрации, омбудсмен, прозрачный бюджет, право на адвоката, запрет коллективной ответственности и ограниченное по сроку чрезвычайное положение.</w:t>
      </w:r>
    </w:p>
    <w:p>
      <w:pPr>
        <w:pStyle w:val="Heading2"/>
        <w:keepNext/>
        <w:pageBreakBefore w:val="0"/>
        <w:spacing w:after="40"/>
        <w:jc w:val="left"/>
      </w:pPr>
      <w:r>
        <w:rPr>
          <w:rFonts w:ascii="Times New Roman" w:hAnsi="Times New Roman" w:eastAsia="Times New Roman"/>
          <w:b/>
          <w:i w:val="0"/>
          <w:color w:val="2F5D83"/>
          <w:sz w:val="25"/>
        </w:rPr>
        <w:t>13.9. Договорный путь к признанию</w:t>
      </w:r>
    </w:p>
    <w:p>
      <w:pPr>
        <w:pageBreakBefore w:val="0"/>
        <w:spacing w:after="80" w:line="269" w:lineRule="auto"/>
        <w:ind w:firstLine="397"/>
        <w:jc w:val="both"/>
      </w:pPr>
      <w:r>
        <w:rPr>
          <w:rFonts w:ascii="Times New Roman" w:hAnsi="Times New Roman" w:eastAsia="Times New Roman"/>
          <w:b w:val="0"/>
          <w:i w:val="0"/>
          <w:color w:val="20252B"/>
          <w:sz w:val="20"/>
        </w:rPr>
        <w:t>Переход выполняется поэтапно: соглашение о переходной автономии с государством или коалицией, отвечающей за запуск и регистрацию; временная хартия и перепись постоянного населения; создание выборных органов; конституционное собрание и принятие конституции; двусторонние соглашения о юрисдикции, гражданстве, спасении, торговле, обороне, связи и ответственности за космический объект; согласование государства регистрации и возможной передачи или изменения юрисдикции; затем заявление о государственности и запрос международного признания. До отдельного соглашения о передаче юрисдикции станция сохраняет договорную связь с государством регистрации, а космическая среда и астероид не объявляются территорией федерации.</w:t>
      </w:r>
    </w:p>
    <w:p>
      <w:pPr>
        <w:pStyle w:val="Heading2"/>
        <w:keepNext/>
        <w:pageBreakBefore w:val="0"/>
        <w:spacing w:after="40"/>
        <w:jc w:val="left"/>
      </w:pPr>
      <w:r>
        <w:rPr>
          <w:rFonts w:ascii="Times New Roman" w:hAnsi="Times New Roman" w:eastAsia="Times New Roman"/>
          <w:b/>
          <w:i w:val="0"/>
          <w:color w:val="2F5D83"/>
          <w:sz w:val="25"/>
        </w:rPr>
        <w:t>13.10. Переходные этапы управления</w:t>
      </w:r>
    </w:p>
    <w:p>
      <w:pPr>
        <w:pageBreakBefore w:val="0"/>
        <w:spacing w:after="80" w:line="269" w:lineRule="auto"/>
        <w:ind w:firstLine="397"/>
        <w:jc w:val="both"/>
      </w:pPr>
      <w:r>
        <w:rPr>
          <w:rFonts w:ascii="Times New Roman" w:hAnsi="Times New Roman" w:eastAsia="Times New Roman"/>
          <w:b w:val="0"/>
          <w:i w:val="0"/>
          <w:color w:val="20252B"/>
          <w:sz w:val="20"/>
        </w:rPr>
        <w:t>Этап I — операторская администрация с хартией прав жителей. Этап II — автономия с избираемым советом, исполнительной администрацией, судом или трибуналом и независимым инспектором безопасности. Этап III — конституционное государство с постоянными органами власти и договорным процессом признания. Этап IV — признанное государство, самостоятельно ведущее внешние отношения в пределах действующих договоров и несущее международную ответственность.</w:t>
      </w:r>
    </w:p>
    <w:p>
      <w:pPr>
        <w:pStyle w:val="Heading2"/>
        <w:keepNext/>
        <w:pageBreakBefore w:val="0"/>
        <w:spacing w:after="40"/>
        <w:jc w:val="left"/>
      </w:pPr>
      <w:r>
        <w:rPr>
          <w:rFonts w:ascii="Times New Roman" w:hAnsi="Times New Roman" w:eastAsia="Times New Roman"/>
          <w:b/>
          <w:i w:val="0"/>
          <w:color w:val="2F5D83"/>
          <w:sz w:val="25"/>
        </w:rPr>
        <w:t>13.11. Открытые правовые вопросы</w:t>
      </w:r>
    </w:p>
    <w:p>
      <w:pPr>
        <w:pageBreakBefore w:val="0"/>
        <w:spacing w:after="80" w:line="269" w:lineRule="auto"/>
        <w:ind w:firstLine="397"/>
        <w:jc w:val="both"/>
      </w:pPr>
      <w:r>
        <w:rPr>
          <w:rFonts w:ascii="Times New Roman" w:hAnsi="Times New Roman" w:eastAsia="Times New Roman"/>
          <w:b w:val="0"/>
          <w:i w:val="0"/>
          <w:color w:val="20252B"/>
          <w:sz w:val="20"/>
        </w:rPr>
        <w:t>Нерешёнными остаются государство регистрации и распределение юрисдикции, валюта и налоговая база, собственность на инфраструктуру, оборона и пределы вооружённой силы, уголовная юрисдикция над иностранцами, трудовое, семейное и наследственное право, миграция и карантин, передача власти в аварийном режиме, допустимые формы экономики и внешний контроль безопасности. Международное признание остаётся политическим решением других государств и не гарантируется одним выполнением формальных критериев.</w:t>
      </w:r>
    </w:p>
    <w:p>
      <w:pPr>
        <w:spacing w:before="200"/>
        <w:jc w:val="center"/>
      </w:pPr>
      <w:r>
        <w:rPr>
          <w:b/>
          <w:color w:val="2E5496"/>
          <w:sz w:val="17"/>
        </w:rPr>
        <w:t>ENGLISH EDITION</w:t>
      </w:r>
    </w:p>
    <w:p>
      <w:pPr>
        <w:pStyle w:val="Heading1"/>
        <w:keepNext/>
        <w:pageBreakBefore w:val="0"/>
        <w:spacing w:after="40"/>
        <w:jc w:val="left"/>
      </w:pPr>
      <w:r>
        <w:rPr>
          <w:rFonts w:ascii="Times New Roman" w:hAnsi="Times New Roman" w:eastAsia="Times New Roman"/>
          <w:b w:val="0"/>
          <w:i w:val="0"/>
          <w:color w:val="20252B"/>
          <w:sz w:val="20"/>
        </w:rPr>
        <w:t>13. LEGAL BASIS OF THE PROGRAM</w:t>
      </w:r>
    </w:p>
    <w:p>
      <w:pPr>
        <w:pageBreakBefore w:val="0"/>
        <w:spacing w:after="80" w:line="269" w:lineRule="auto"/>
        <w:ind w:firstLine="397"/>
        <w:jc w:val="both"/>
      </w:pPr>
      <w:r>
        <w:rPr>
          <w:rFonts w:ascii="Times New Roman" w:hAnsi="Times New Roman" w:eastAsia="Times New Roman"/>
          <w:b w:val="0"/>
          <w:i w:val="0"/>
          <w:color w:val="20252B"/>
          <w:sz w:val="20"/>
        </w:rPr>
        <w:t>The legal chapter answers three questions: by what laws do people live inside the cylinder; can the station receive state status; how the legality of processing space resources for the needs of the program is formalized. The presentation is based on current international and Russian law as of 2026. The chapter is not a legal opinion and does not replace it; it outlines the legal framework within which an engineering project can exist.</w:t>
      </w:r>
    </w:p>
    <w:p>
      <w:pPr>
        <w:pStyle w:val="Heading2"/>
        <w:keepNext/>
        <w:pageBreakBefore w:val="0"/>
        <w:spacing w:after="40"/>
        <w:jc w:val="left"/>
      </w:pPr>
      <w:r>
        <w:rPr>
          <w:rFonts w:ascii="Times New Roman" w:hAnsi="Times New Roman" w:eastAsia="Times New Roman"/>
          <w:b w:val="0"/>
          <w:i w:val="0"/>
          <w:color w:val="20252B"/>
          <w:sz w:val="20"/>
        </w:rPr>
        <w:t>13.1. What the current law says</w:t>
      </w:r>
    </w:p>
    <w:p>
      <w:pPr>
        <w:pageBreakBefore w:val="0"/>
        <w:spacing w:after="80" w:line="269" w:lineRule="auto"/>
        <w:ind w:firstLine="397"/>
        <w:jc w:val="both"/>
      </w:pPr>
      <w:r>
        <w:rPr>
          <w:rFonts w:ascii="Times New Roman" w:hAnsi="Times New Roman" w:eastAsia="Times New Roman"/>
          <w:b w:val="0"/>
          <w:i w:val="0"/>
          <w:color w:val="20252B"/>
          <w:sz w:val="20"/>
        </w:rPr>
        <w:t>The basis is the Treaty on the principles governing the activities of states in the exploration and use of outer space, including the Moon and other celestial bodies, dated January 27, 1967 (Outer Space Treaty). The Russian Federation participates in it as a successor to the USSR. Four of its provisions are essential for this project.</w:t>
      </w:r>
    </w:p>
    <w:p>
      <w:pPr>
        <w:pageBreakBefore w:val="0"/>
        <w:spacing w:after="80" w:line="269" w:lineRule="auto"/>
        <w:ind w:firstLine="397"/>
        <w:jc w:val="both"/>
      </w:pPr>
      <w:r>
        <w:rPr>
          <w:rFonts w:ascii="Times New Roman" w:hAnsi="Times New Roman" w:eastAsia="Times New Roman"/>
          <w:b w:val="0"/>
          <w:i w:val="0"/>
          <w:color w:val="20252B"/>
          <w:sz w:val="20"/>
        </w:rPr>
        <w:t>Article II: Outer space, including the Moon and other celestial bodies, is not subject to national appropriation, either by claim of sovereignty, by use or occupation, or by any other means. Asteroid (6178) 1986 DA, (24) Themis, (10) Hygiea cannot be assigned to anyone - neither a state, nor an organization, nor a person.</w:t>
      </w:r>
    </w:p>
    <w:p>
      <w:pPr>
        <w:pageBreakBefore w:val="0"/>
        <w:spacing w:after="80" w:line="269" w:lineRule="auto"/>
        <w:ind w:firstLine="397"/>
        <w:jc w:val="both"/>
      </w:pPr>
      <w:r>
        <w:rPr>
          <w:rFonts w:ascii="Times New Roman" w:hAnsi="Times New Roman" w:eastAsia="Times New Roman"/>
          <w:b w:val="0"/>
          <w:i w:val="0"/>
          <w:color w:val="20252B"/>
          <w:sz w:val="20"/>
        </w:rPr>
        <w:t>Article VI: States have international responsibility for national activities in space, including those carried out by non-governmental entities, and such activities must be conducted with the permission and under the continued supervision of the relevant State Party. In other words, there is no private space activity outside the state: a specific country is responsible for any launch.</w:t>
      </w:r>
    </w:p>
    <w:p>
      <w:pPr>
        <w:pageBreakBefore w:val="0"/>
        <w:spacing w:after="80" w:line="269" w:lineRule="auto"/>
        <w:ind w:firstLine="397"/>
        <w:jc w:val="both"/>
      </w:pPr>
      <w:r>
        <w:rPr>
          <w:rFonts w:ascii="Times New Roman" w:hAnsi="Times New Roman" w:eastAsia="Times New Roman"/>
          <w:b w:val="0"/>
          <w:i w:val="0"/>
          <w:color w:val="20252B"/>
          <w:sz w:val="20"/>
        </w:rPr>
        <w:t>Article VIII: The state on whose registry a space object is listed retains jurisdiction and control over that object and its crew while in space. It is this article, and not discussions about sovereignty, that answers the question about the laws inside the cylinder.</w:t>
      </w:r>
    </w:p>
    <w:p>
      <w:pPr>
        <w:pageBreakBefore w:val="0"/>
        <w:spacing w:after="80" w:line="269" w:lineRule="auto"/>
        <w:ind w:firstLine="397"/>
        <w:jc w:val="both"/>
      </w:pPr>
      <w:r>
        <w:rPr>
          <w:rFonts w:ascii="Times New Roman" w:hAnsi="Times New Roman" w:eastAsia="Times New Roman"/>
          <w:b w:val="0"/>
          <w:i w:val="0"/>
          <w:color w:val="20252B"/>
          <w:sz w:val="20"/>
        </w:rPr>
        <w:t>The 1975 Convention on the Registration of Objects Launched into Outer Space requires that the object be entered into a national registry and notified to the UN Secretary-General. The 1972 Convention on International Liability for Damage Caused by Space Objects places liability for damage on the launching State.</w:t>
      </w:r>
    </w:p>
    <w:p>
      <w:pPr>
        <w:pStyle w:val="Heading2"/>
        <w:keepNext/>
        <w:pageBreakBefore w:val="0"/>
        <w:spacing w:after="40"/>
        <w:jc w:val="left"/>
      </w:pPr>
      <w:r>
        <w:rPr>
          <w:rFonts w:ascii="Times New Roman" w:hAnsi="Times New Roman" w:eastAsia="Times New Roman"/>
          <w:b w:val="0"/>
          <w:i w:val="0"/>
          <w:color w:val="20252B"/>
          <w:sz w:val="20"/>
        </w:rPr>
        <w:t>13.2. By what laws do they live inside a cylinder?</w:t>
      </w:r>
    </w:p>
    <w:p>
      <w:pPr>
        <w:pageBreakBefore w:val="0"/>
        <w:spacing w:after="80" w:line="269" w:lineRule="auto"/>
        <w:ind w:firstLine="397"/>
        <w:jc w:val="both"/>
      </w:pPr>
      <w:r>
        <w:rPr>
          <w:rFonts w:ascii="Times New Roman" w:hAnsi="Times New Roman" w:eastAsia="Times New Roman"/>
          <w:b w:val="0"/>
          <w:i w:val="0"/>
          <w:color w:val="20252B"/>
          <w:sz w:val="20"/>
        </w:rPr>
        <w:t>Until the contractual transfer, residents live according to the law of the state of registration and local regulations of the operator. As autonomy bodies are created, local law is transformed into the law of the Solnechnograd Federation, consistent with international obligations and agreements with the state of registration. Land codes do not apply automatically after transition: they operate only within the limits of direct reception or agreement.</w:t>
      </w:r>
    </w:p>
    <w:p>
      <w:pPr>
        <w:pageBreakBefore w:val="0"/>
        <w:spacing w:after="80" w:line="269" w:lineRule="auto"/>
        <w:ind w:firstLine="397"/>
        <w:jc w:val="both"/>
      </w:pPr>
      <w:r>
        <w:rPr>
          <w:rFonts w:ascii="Times New Roman" w:hAnsi="Times New Roman" w:eastAsia="Times New Roman"/>
          <w:b w:val="0"/>
          <w:i w:val="0"/>
          <w:color w:val="20252B"/>
          <w:sz w:val="20"/>
        </w:rPr>
        <w:t>The difference between the station and the ISS module is not legal, but quantitative: a million inhabitants, births and deaths, property, family and labor relations, disputes between people. Russian law is applicable to all this without exception, but will require by-law development in three areas: the procedure for registering acts of civil status on board, the peculiarities of legal proceedings in the event of a delay in communication with the Earth, sanitary and urban planning standards for a closed volume, which are not in the Earth’s codes. This is a rule-making work, not a constitutional one.</w:t>
      </w:r>
    </w:p>
    <w:p>
      <w:pPr>
        <w:pageBreakBefore w:val="0"/>
        <w:spacing w:after="80" w:line="269" w:lineRule="auto"/>
        <w:ind w:firstLine="397"/>
        <w:jc w:val="both"/>
      </w:pPr>
      <w:r>
        <w:rPr>
          <w:rFonts w:ascii="Times New Roman" w:hAnsi="Times New Roman" w:eastAsia="Times New Roman"/>
          <w:b w:val="0"/>
          <w:i w:val="0"/>
          <w:color w:val="20252B"/>
          <w:sz w:val="20"/>
        </w:rPr>
        <w:t>Practical conclusion for the project: the internal rules of the station are formalized not as “laws of the space state”, but as local regulations - the station charter, internal regulations, safety regulations - operating within the framework of Russian law and approved by the station operator. Legally, this is the same construction as the rules on a sea-going vessel under a flag.</w:t>
      </w:r>
    </w:p>
    <w:p>
      <w:pPr>
        <w:pStyle w:val="Heading2"/>
        <w:keepNext/>
        <w:pageBreakBefore w:val="0"/>
        <w:spacing w:after="40"/>
        <w:jc w:val="left"/>
      </w:pPr>
      <w:r>
        <w:rPr>
          <w:rFonts w:ascii="Times New Roman" w:hAnsi="Times New Roman" w:eastAsia="Times New Roman"/>
          <w:b w:val="0"/>
          <w:i w:val="0"/>
          <w:color w:val="20252B"/>
          <w:sz w:val="20"/>
        </w:rPr>
        <w:t>13.3. Is it possible to declare a station a state?</w:t>
      </w:r>
    </w:p>
    <w:p>
      <w:pPr>
        <w:pageBreakBefore w:val="0"/>
        <w:spacing w:after="80" w:line="269" w:lineRule="auto"/>
        <w:ind w:firstLine="397"/>
        <w:jc w:val="both"/>
      </w:pPr>
      <w:r>
        <w:rPr>
          <w:rFonts w:ascii="Times New Roman" w:hAnsi="Times New Roman" w:eastAsia="Times New Roman"/>
          <w:b w:val="0"/>
          <w:i w:val="0"/>
          <w:color w:val="20252B"/>
          <w:sz w:val="20"/>
        </w:rPr>
        <w:t>A unilateral declaration does not automatically create a state. Even if the station is delivered by a third-party space organization under a separate agreement with the author of the project, this means a separation of the roles of the contractor and the future operator, and not the acquisition of territory. Article II of the Outer Space Treaty prohibits the appropriation of outer space and celestial bodies by claim of sovereignty, use, occupation or other means; the absence of an owner of an asteroid is not permission to declare it territory. The station retains its status as a registered space object, and the jurisdiction and control of the State of registry under Article VIII and the State's responsibility for national activities under Article VI remain. The long-term goal of the project is therefore not a declaration without basis, but a negotiated transition to statehood after the formation of a permanent population, authorities, its own legal system and the ability to fulfill external obligations.</w:t>
      </w:r>
    </w:p>
    <w:p>
      <w:pPr>
        <w:pageBreakBefore w:val="0"/>
        <w:spacing w:after="80" w:line="269" w:lineRule="auto"/>
        <w:ind w:firstLine="397"/>
        <w:jc w:val="both"/>
      </w:pPr>
      <w:r>
        <w:rPr>
          <w:rFonts w:ascii="Times New Roman" w:hAnsi="Times New Roman" w:eastAsia="Times New Roman"/>
          <w:b w:val="0"/>
          <w:i w:val="0"/>
          <w:color w:val="20252B"/>
          <w:sz w:val="20"/>
        </w:rPr>
        <w:t>An attempt to declare independence without a treaty with the state of registration, without agreeing on jurisdiction and without international recognition would not lead to the immediate emergence of a state, but to a conflict with existing responsibilities for the space object. The Declaration may be a policy statement, but does not itself abrogate Article II, registration, licenses, radio frequency regulations, responsibilities and control of the State of Registry. Therefore, the transition must be gradual: operator administration, transitional autonomy, constitutional self-government, then a declaration of statehood and a request for recognition.</w:t>
      </w:r>
    </w:p>
    <w:p>
      <w:pPr>
        <w:pageBreakBefore w:val="0"/>
        <w:spacing w:after="80" w:line="269" w:lineRule="auto"/>
        <w:ind w:firstLine="397"/>
        <w:jc w:val="both"/>
      </w:pPr>
      <w:r>
        <w:rPr>
          <w:rFonts w:ascii="Times New Roman" w:hAnsi="Times New Roman" w:eastAsia="Times New Roman"/>
          <w:b w:val="0"/>
          <w:i w:val="0"/>
          <w:color w:val="20252B"/>
          <w:sz w:val="20"/>
        </w:rPr>
        <w:t>A practical form in the early stages is an international consortium with the state of registration and treaty jurisdiction. The target form after the transition period is the Solnechnograd Federation as a separate state with full internal sovereignty. Self-sovereignty relates to the control of the station, its inhabitants, infrastructure and internal systems; it does not mean the appropriation of outer space or asteroids.</w:t>
      </w:r>
    </w:p>
    <w:p>
      <w:pPr>
        <w:pStyle w:val="Heading2"/>
        <w:keepNext/>
        <w:pageBreakBefore w:val="0"/>
        <w:spacing w:after="40"/>
        <w:jc w:val="left"/>
      </w:pPr>
      <w:r>
        <w:rPr>
          <w:rFonts w:ascii="Times New Roman" w:hAnsi="Times New Roman" w:eastAsia="Times New Roman"/>
          <w:b w:val="0"/>
          <w:i w:val="0"/>
          <w:color w:val="20252B"/>
          <w:sz w:val="20"/>
        </w:rPr>
        <w:t>13.4. Space resources: how to declare their processing</w:t>
      </w:r>
    </w:p>
    <w:p>
      <w:pPr>
        <w:pageBreakBefore w:val="0"/>
        <w:spacing w:after="80" w:line="269" w:lineRule="auto"/>
        <w:ind w:firstLine="397"/>
        <w:jc w:val="both"/>
      </w:pPr>
      <w:r>
        <w:rPr>
          <w:rFonts w:ascii="Times New Roman" w:hAnsi="Times New Roman" w:eastAsia="Times New Roman"/>
          <w:b w:val="0"/>
          <w:i w:val="0"/>
          <w:color w:val="20252B"/>
          <w:sz w:val="20"/>
        </w:rPr>
        <w:t>Here the law is in a state that should be stated directly: there is no single solution, the issue is controversial, and it would be untrue to say otherwise.</w:t>
      </w:r>
    </w:p>
    <w:p>
      <w:pPr>
        <w:pageBreakBefore w:val="0"/>
        <w:spacing w:after="80" w:line="269" w:lineRule="auto"/>
        <w:ind w:firstLine="397"/>
        <w:jc w:val="both"/>
      </w:pPr>
      <w:r>
        <w:rPr>
          <w:rFonts w:ascii="Times New Roman" w:hAnsi="Times New Roman" w:eastAsia="Times New Roman"/>
          <w:b w:val="0"/>
          <w:i w:val="0"/>
          <w:color w:val="20252B"/>
          <w:sz w:val="20"/>
        </w:rPr>
        <w:t>The first position, which is also adhered to by the Russian Federation: the prohibition of appropriation under Article II also applies to the resources of celestial bodies, since the Treaty does not separate the body and its substance; an international regime regulating production is needed. The Russian Foreign Ministry and Roscosmos submitted to the Legal Subcommittee of the UN Committee on Outer Space a proposal to develop an implementation agreement to the Treaty, which would make the ban mandatory without the possibility of circumvention by national legislation.</w:t>
      </w:r>
    </w:p>
    <w:p>
      <w:pPr>
        <w:pageBreakBefore w:val="0"/>
        <w:spacing w:after="80" w:line="269" w:lineRule="auto"/>
        <w:ind w:firstLine="397"/>
        <w:jc w:val="both"/>
      </w:pPr>
      <w:r>
        <w:rPr>
          <w:rFonts w:ascii="Times New Roman" w:hAnsi="Times New Roman" w:eastAsia="Times New Roman"/>
          <w:b w:val="0"/>
          <w:i w:val="0"/>
          <w:color w:val="20252B"/>
          <w:sz w:val="20"/>
        </w:rPr>
        <w:t>The second position: the ban is addressed to states and concerns the appropriation of the celestial bodies themselves, and not the substance extracted from them; extraction is use, not appropriation. This interpretation is the basis of the US Commercial Space Launch Competitiveness Act of 2015, the Luxembourg law of July 20, 2017, and Section 10(2) of the Artemis Accords, which expressly states that the extraction of space resources is not national appropriation under Article II.</w:t>
      </w:r>
    </w:p>
    <w:p>
      <w:pPr>
        <w:pageBreakBefore w:val="0"/>
        <w:spacing w:after="80" w:line="269" w:lineRule="auto"/>
        <w:ind w:firstLine="397"/>
        <w:jc w:val="both"/>
      </w:pPr>
      <w:r>
        <w:rPr>
          <w:rFonts w:ascii="Times New Roman" w:hAnsi="Times New Roman" w:eastAsia="Times New Roman"/>
          <w:b w:val="0"/>
          <w:i w:val="0"/>
          <w:color w:val="20252B"/>
          <w:sz w:val="20"/>
        </w:rPr>
        <w:t>What does this mean for a personal project? You should not unilaterally declare the right to process asteroid matter - such a statement has no legal consequences and can damage the project. The legal path consists of three related steps: authorization and supervision by the state or states subject to the jurisdiction of the launch and registration; object registration; and legal justification for the use of resources. The author of the project at the personal stage is not an operator of space activities. Launch and delivery are performed by a third party space organization, and assembly and operation require a separate legal entity or other approved operator. Russian registration of the author as an individual does not replace the separate registration of the station itself as a space object and does not cancel the coordination of the state of registration with the launch states.</w:t>
      </w:r>
    </w:p>
    <w:p>
      <w:pPr>
        <w:pageBreakBefore w:val="0"/>
        <w:spacing w:after="80" w:line="269" w:lineRule="auto"/>
        <w:ind w:firstLine="397"/>
        <w:jc w:val="both"/>
      </w:pPr>
      <w:r>
        <w:rPr>
          <w:rFonts w:ascii="Times New Roman" w:hAnsi="Times New Roman" w:eastAsia="Times New Roman"/>
          <w:b w:val="0"/>
          <w:i w:val="0"/>
          <w:color w:val="20252B"/>
          <w:sz w:val="20"/>
        </w:rPr>
        <w:t>First: a license is not needed to “own an asteroid” and does not prove ownership of it. It is required because the launch, delivery, assembly and operation of a space object, its control, the operation of radio facilities, nuclear or other power plants, as well as the allocation of responsibilities, insurance, export controls and emergency supervision are space activities that, under Article VI, must be carried out with the permission and under the constant supervision of the State concerned. The author of the project, as an individual, cannot replace the licensed operator. Before the start of assembly, an operator must be selected or created - a legal entity that meets the licensing requirements and issues a Russian license or other permits in accordance with the Law of the Russian Federation “On Space Activities” dated August 20, 1993 No. 5663-I and applicable licensing rules. The third party space organization obtains separate launch and delivery permits in the applicable jurisdiction. If radioisotope, nuclear or other hazardous energy installations are used, they require additional special permits and supervision. Treaties may allocate costs and damages, but do not eliminate the international responsibility of the states concerned. The asteroid itself does not become anyone’s territory.</w:t>
      </w:r>
    </w:p>
    <w:p>
      <w:pPr>
        <w:pageBreakBefore w:val="0"/>
        <w:spacing w:after="80" w:line="269" w:lineRule="auto"/>
        <w:ind w:firstLine="397"/>
        <w:jc w:val="both"/>
      </w:pPr>
      <w:r>
        <w:rPr>
          <w:rFonts w:ascii="Times New Roman" w:hAnsi="Times New Roman" w:eastAsia="Times New Roman"/>
          <w:b w:val="0"/>
          <w:i w:val="0"/>
          <w:color w:val="20252B"/>
          <w:sz w:val="20"/>
        </w:rPr>
        <w:t>Second: the station and mining vehicles are included in the national register of space objects, which is notified to the UN Secretary-General in accordance with the 1975 Convention. The Russian registration of the author as an individual does not in itself constitute registration of the station. The operator and State of registry of the station must be separately identified, taking into account the States of launch, the organization that orders or provides the launch, the territory or site of the launch, and agreements between participants. Following such a determination, it is the State of Registry that obtains jurisdiction and control under Article VIII, and the selected operator operates under the authorization and supervision of the relevant Russian party and within the agreed international framework.</w:t>
      </w:r>
    </w:p>
    <w:p>
      <w:pPr>
        <w:pageBreakBefore w:val="0"/>
        <w:spacing w:after="80" w:line="269" w:lineRule="auto"/>
        <w:ind w:firstLine="397"/>
        <w:jc w:val="both"/>
      </w:pPr>
      <w:r>
        <w:rPr>
          <w:rFonts w:ascii="Times New Roman" w:hAnsi="Times New Roman" w:eastAsia="Times New Roman"/>
          <w:b w:val="0"/>
          <w:i w:val="0"/>
          <w:color w:val="20252B"/>
          <w:sz w:val="20"/>
        </w:rPr>
        <w:t>Third: the processing of matter is not declared as the appropriation of an asteroid, but as the use of resources to support one’s own activities in space. This use is expressly provided for and least controversial: even a strict interpretation of Article II allows the use of natural resources to support installations on celestial bodies. The program does not sell asteroid material on Earth and does not claim rights to the bodies themselves; it processes the material on site to build the station. This is a fundamentally more defensible position than commercial mining.</w:t>
      </w:r>
    </w:p>
    <w:p>
      <w:pPr>
        <w:pageBreakBefore w:val="0"/>
        <w:spacing w:after="80" w:line="269" w:lineRule="auto"/>
        <w:ind w:firstLine="397"/>
        <w:jc w:val="both"/>
      </w:pPr>
      <w:r>
        <w:rPr>
          <w:rFonts w:ascii="Times New Roman" w:hAnsi="Times New Roman" w:eastAsia="Times New Roman"/>
          <w:b w:val="0"/>
          <w:i w:val="0"/>
          <w:color w:val="20252B"/>
          <w:sz w:val="20"/>
        </w:rPr>
        <w:t>In the long term, a project of this scale will require international agreement, either in the form of an implementing agreement to the 1967 Treaty or a separate treaty on large space settlements. Only the state can initiate it. The program's goal at this stage is to be ready to provide a technical justification when such work begins.</w:t>
      </w:r>
    </w:p>
    <w:p>
      <w:pPr>
        <w:pStyle w:val="Heading2"/>
        <w:keepNext/>
        <w:pageBreakBefore w:val="0"/>
        <w:spacing w:after="40"/>
        <w:jc w:val="left"/>
      </w:pPr>
      <w:r>
        <w:rPr>
          <w:rFonts w:ascii="Times New Roman" w:hAnsi="Times New Roman" w:eastAsia="Times New Roman"/>
          <w:b w:val="0"/>
          <w:i w:val="0"/>
          <w:color w:val="20252B"/>
          <w:sz w:val="20"/>
        </w:rPr>
        <w:t>13.5. Legal status of the project manager</w:t>
      </w:r>
    </w:p>
    <w:p>
      <w:pPr>
        <w:pageBreakBefore w:val="0"/>
        <w:spacing w:after="80" w:line="269" w:lineRule="auto"/>
        <w:ind w:firstLine="397"/>
        <w:jc w:val="both"/>
      </w:pPr>
      <w:r>
        <w:rPr>
          <w:rFonts w:ascii="Times New Roman" w:hAnsi="Times New Roman" w:eastAsia="Times New Roman"/>
          <w:b w:val="0"/>
          <w:i w:val="0"/>
          <w:color w:val="20252B"/>
          <w:sz w:val="20"/>
        </w:rPr>
        <w:t>The section answers a direct question from Roman Sergeevich Bugaenko, a seventeen-year-old citizen of the Russian Federation. The answer is given according to current Russian legislation.</w:t>
      </w:r>
    </w:p>
    <w:p>
      <w:pPr>
        <w:pageBreakBefore w:val="0"/>
        <w:spacing w:after="80" w:line="269" w:lineRule="auto"/>
        <w:ind w:firstLine="397"/>
        <w:jc w:val="both"/>
      </w:pPr>
      <w:r>
        <w:rPr>
          <w:rFonts w:ascii="Times New Roman" w:hAnsi="Times New Roman" w:eastAsia="Times New Roman"/>
          <w:b w:val="0"/>
          <w:i w:val="0"/>
          <w:color w:val="20252B"/>
          <w:sz w:val="20"/>
        </w:rPr>
        <w:t>In the Russian legal framework, a license for space activities is issued only to legal entities; An individual cannot be an applicant, regardless of age. The author of the project participates as an individual and is not an independent operator of the space object. Before assembly and operation, it is necessary to create or select a Russian operator legal entity or other approved operator, bring its structure, specialists, premises, equipment and declared work into compliance with licensing requirements and obtain the necessary permits. Until then, the personal project remains an engineering development, and not a space activity in the sense of the law. This organizational action does not mean acquiring sovereignty over the station or asteroid.</w:t>
      </w:r>
    </w:p>
    <w:p>
      <w:pPr>
        <w:pageBreakBefore w:val="0"/>
        <w:spacing w:after="80" w:line="269" w:lineRule="auto"/>
        <w:ind w:firstLine="397"/>
        <w:jc w:val="both"/>
      </w:pPr>
      <w:r>
        <w:rPr>
          <w:rFonts w:ascii="Times New Roman" w:hAnsi="Times New Roman" w:eastAsia="Times New Roman"/>
          <w:b w:val="0"/>
          <w:i w:val="0"/>
          <w:color w:val="20252B"/>
          <w:sz w:val="20"/>
        </w:rPr>
        <w:t>Copyright is not limited by age. The right of authorship to project documentation arises from Roman Bugaenko at the time of its creation and does not depend on registration or age of majority; Article 26 of the Civil Code directly assigns to minors from the age of fourteen the right to independently exercise the rights of the author of a work of science. This document is protected from the moment of creation, the Proprietary Source-Visible License v1.0 is valid from 08/17/2026 indefinitely.</w:t>
      </w:r>
    </w:p>
    <w:p>
      <w:pPr>
        <w:pageBreakBefore w:val="0"/>
        <w:spacing w:after="80" w:line="269" w:lineRule="auto"/>
        <w:ind w:firstLine="397"/>
        <w:jc w:val="both"/>
      </w:pPr>
      <w:r>
        <w:rPr>
          <w:rFonts w:ascii="Times New Roman" w:hAnsi="Times New Roman" w:eastAsia="Times New Roman"/>
          <w:b w:val="0"/>
          <w:i w:val="0"/>
          <w:color w:val="20252B"/>
          <w:sz w:val="20"/>
        </w:rPr>
        <w:t>Practical conclusion. Immediate legal actions available now: recording authorship, depositing documentation, participation in competitions and programs through an educational organization or youth movement. Actions requiring eighteen years or emancipation: establishing a legal entity, applying for a license, entering into contracts in one's own name. This is the order, and there is no way around it; but there is no need to bypass it, since at the current stage the project is an engineering development, and not a space activity in the sense of the law.</w:t>
      </w:r>
    </w:p>
    <w:p>
      <w:pPr>
        <w:pStyle w:val="Heading2"/>
        <w:keepNext/>
        <w:pageBreakBefore w:val="0"/>
        <w:spacing w:after="40"/>
        <w:jc w:val="left"/>
      </w:pPr>
      <w:r>
        <w:rPr>
          <w:rFonts w:ascii="Times New Roman" w:hAnsi="Times New Roman" w:eastAsia="Times New Roman"/>
          <w:b w:val="0"/>
          <w:i w:val="0"/>
          <w:color w:val="20252B"/>
          <w:sz w:val="20"/>
        </w:rPr>
        <w:t>13.6. Target model of statehood of the Solnechnograd Federation</w:t>
      </w:r>
    </w:p>
    <w:p>
      <w:pPr>
        <w:pageBreakBefore w:val="0"/>
        <w:spacing w:after="80" w:line="269" w:lineRule="auto"/>
        <w:ind w:firstLine="397"/>
        <w:jc w:val="both"/>
      </w:pPr>
      <w:r>
        <w:rPr>
          <w:rFonts w:ascii="Times New Roman" w:hAnsi="Times New Roman" w:eastAsia="Times New Roman"/>
          <w:b w:val="0"/>
          <w:i w:val="0"/>
          <w:color w:val="20252B"/>
          <w:sz w:val="20"/>
        </w:rPr>
        <w:t>The Solnechnograd Federation is projected as a separate state with full internal sovereignty. This is a targeted political and legal model, and not a unilateral declaration or a legal opinion. Full internal sovereignty means its own constitution, catalog of fundamental rights, legislative, executive and judicial branches of government, budget, taxes, security regime, civil defense and emergency management. Sovereignty relates to the station, its inhabitants, infrastructure and internal systems; outer space and asteroids are not declared the territory or property of the Solnechnograd Federation.</w:t>
      </w:r>
    </w:p>
    <w:p>
      <w:pPr>
        <w:pageBreakBefore w:val="0"/>
        <w:spacing w:after="80" w:line="269" w:lineRule="auto"/>
        <w:ind w:firstLine="397"/>
        <w:jc w:val="both"/>
      </w:pPr>
      <w:r>
        <w:rPr>
          <w:rFonts w:ascii="Times New Roman" w:hAnsi="Times New Roman" w:eastAsia="Times New Roman"/>
          <w:b w:val="0"/>
          <w:i w:val="0"/>
          <w:color w:val="20252B"/>
          <w:sz w:val="20"/>
        </w:rPr>
        <w:t>To create a state at the station, one declaration of independence is not enough. The traditional international legal model takes into account a permanent population, a defined territory, an effective government, and the ability to enter into relations with other states. These signs serve as a guide, but do not automatically convert a political declaration into statehood or invalidate existing treaties.</w:t>
      </w:r>
    </w:p>
    <w:p>
      <w:pPr>
        <w:pageBreakBefore w:val="0"/>
        <w:spacing w:after="80" w:line="269" w:lineRule="auto"/>
        <w:ind w:firstLine="397"/>
        <w:jc w:val="both"/>
      </w:pPr>
      <w:r>
        <w:rPr>
          <w:rFonts w:ascii="Times New Roman" w:hAnsi="Times New Roman" w:eastAsia="Times New Roman"/>
          <w:b w:val="0"/>
          <w:i w:val="0"/>
          <w:color w:val="20252B"/>
          <w:sz w:val="20"/>
        </w:rPr>
        <w:t>The peculiarity of the station lies in its territorial criteria. The station may be a precisely defined space object, have its own access boundaries, controls and internal jurisdiction, but the asteroid and the space environment do not become the territory of the Solnechnograd Federation. Article II of the Outer Space Treaty prohibits national appropriation of celestial bodies through claim of sovereignty, use, occupation or other means. Therefore, the author of the project and the future federation cannot, by their decision, turn the asteroid into state territory or automatically acquire ownership of it.</w:t>
      </w:r>
    </w:p>
    <w:p>
      <w:pPr>
        <w:pageBreakBefore w:val="0"/>
        <w:spacing w:after="80" w:line="269" w:lineRule="auto"/>
        <w:ind w:firstLine="397"/>
        <w:jc w:val="both"/>
      </w:pPr>
      <w:r>
        <w:rPr>
          <w:rFonts w:ascii="Times New Roman" w:hAnsi="Times New Roman" w:eastAsia="Times New Roman"/>
          <w:b w:val="0"/>
          <w:i w:val="0"/>
          <w:color w:val="20252B"/>
          <w:sz w:val="20"/>
        </w:rPr>
        <w:t>The minimum legal package for transfer from plant to state includes: a registered operator of the project; resident population; a temporary charter and then a constitution; elected bodies; independent court; rules of citizenship and naturalization; sustainable budget and security system; agreement with the state of registration on transitional autonomy; separate agreements on jurisdiction, space object registration, nationality, salvage, trade, communications and international responsibility; ability to enter into external contracts and fulfill them.</w:t>
      </w:r>
    </w:p>
    <w:p>
      <w:pPr>
        <w:pageBreakBefore w:val="0"/>
        <w:spacing w:after="80" w:line="269" w:lineRule="auto"/>
        <w:ind w:firstLine="397"/>
        <w:jc w:val="both"/>
      </w:pPr>
      <w:r>
        <w:rPr>
          <w:rFonts w:ascii="Times New Roman" w:hAnsi="Times New Roman" w:eastAsia="Times New Roman"/>
          <w:b w:val="0"/>
          <w:i w:val="0"/>
          <w:color w:val="20252B"/>
          <w:sz w:val="20"/>
        </w:rPr>
        <w:t>The practical sequence is as follows. First, the author of the project acts as an individual, and the future station operator obtains the necessary permits and acts according to the rules of the state of registration. Then contractual autonomy is created with its own self-government bodies. Once a permanent population and a stable constitutional system have been established, the parties may agree to change or transfer part of the jurisdiction. Only after such an agreement is it possible to declare statehood, request international recognition and, if there is political support, apply for membership in international organizations. Before the transfer of jurisdiction, the “Solnechnograd Federation” is a target political-legal model or contractual autonomy, and not a unilaterally created state.</w:t>
      </w:r>
    </w:p>
    <w:p>
      <w:pPr>
        <w:pStyle w:val="Heading2"/>
        <w:keepNext/>
        <w:pageBreakBefore w:val="0"/>
        <w:spacing w:after="40"/>
        <w:jc w:val="left"/>
      </w:pPr>
      <w:r>
        <w:rPr>
          <w:rFonts w:ascii="Times New Roman" w:hAnsi="Times New Roman" w:eastAsia="Times New Roman"/>
          <w:b w:val="0"/>
          <w:i w:val="0"/>
          <w:color w:val="20252B"/>
          <w:sz w:val="20"/>
        </w:rPr>
        <w:t>13.7. Dual contour of citizenship</w:t>
      </w:r>
    </w:p>
    <w:p>
      <w:pPr>
        <w:pageBreakBefore w:val="0"/>
        <w:spacing w:after="80" w:line="269" w:lineRule="auto"/>
        <w:ind w:firstLine="397"/>
        <w:jc w:val="both"/>
      </w:pPr>
      <w:r>
        <w:rPr>
          <w:rFonts w:ascii="Times New Roman" w:hAnsi="Times New Roman" w:eastAsia="Times New Roman"/>
          <w:b w:val="0"/>
          <w:i w:val="0"/>
          <w:color w:val="20252B"/>
          <w:sz w:val="20"/>
        </w:rPr>
        <w:t>Citizenship of the Solnechnograd Federation is an independent political and legal status and does not require an automatic renunciation of the original citizenship of the Earth. A permanent resident receives a path to naturalization through a period of residence, knowledge of the constitution and station rules, a civic oath, and a test of capacity. Descent, birth and family connection may provide simplified registration; arbitrary deprivation of citizenship is prohibited, and exit is possible if you have a different legal status. Automatic citizenship by birth, the minimum period of naturalization and the status of children of mixed families are established by the future constitution.</w:t>
      </w:r>
    </w:p>
    <w:p>
      <w:pPr>
        <w:pStyle w:val="Heading2"/>
        <w:keepNext/>
        <w:pageBreakBefore w:val="0"/>
        <w:spacing w:after="40"/>
        <w:jc w:val="left"/>
      </w:pPr>
      <w:r>
        <w:rPr>
          <w:rFonts w:ascii="Times New Roman" w:hAnsi="Times New Roman" w:eastAsia="Times New Roman"/>
          <w:b w:val="0"/>
          <w:i w:val="0"/>
          <w:color w:val="20252B"/>
          <w:sz w:val="20"/>
        </w:rPr>
        <w:t>13.8. Hybrid legal system</w:t>
      </w:r>
    </w:p>
    <w:p>
      <w:pPr>
        <w:pageBreakBefore w:val="0"/>
        <w:spacing w:after="80" w:line="269" w:lineRule="auto"/>
        <w:ind w:firstLine="397"/>
        <w:jc w:val="both"/>
      </w:pPr>
      <w:r>
        <w:rPr>
          <w:rFonts w:ascii="Times New Roman" w:hAnsi="Times New Roman" w:eastAsia="Times New Roman"/>
          <w:b w:val="0"/>
          <w:i w:val="0"/>
          <w:color w:val="20252B"/>
          <w:sz w:val="20"/>
        </w:rPr>
        <w:t>The basis becomes the Solnechnograd Federation’s own constitution, consistent with the mandatory norms of international law. Own law regulates the life of a closed station, labor, housing, medicine, education, social guarantees, distribution of resources, taxes, industry, security, elections, states of emergency and courts. Land codes do not apply automatically: they are valid only if they are included in the law of the Solnechnograd Federation by a reception law or an international treaty. An independent judiciary, judicial review of administration, an ombudsman, a transparent budget, the right to a lawyer, a ban on collective liability and a time-limited state of emergency are mandatory.</w:t>
      </w:r>
    </w:p>
    <w:p>
      <w:pPr>
        <w:pStyle w:val="Heading2"/>
        <w:keepNext/>
        <w:pageBreakBefore w:val="0"/>
        <w:spacing w:after="40"/>
        <w:jc w:val="left"/>
      </w:pPr>
      <w:r>
        <w:rPr>
          <w:rFonts w:ascii="Times New Roman" w:hAnsi="Times New Roman" w:eastAsia="Times New Roman"/>
          <w:b w:val="0"/>
          <w:i w:val="0"/>
          <w:color w:val="20252B"/>
          <w:sz w:val="20"/>
        </w:rPr>
        <w:t>13.9. Negotiable path to recognition</w:t>
      </w:r>
    </w:p>
    <w:p>
      <w:pPr>
        <w:pageBreakBefore w:val="0"/>
        <w:spacing w:after="80" w:line="269" w:lineRule="auto"/>
        <w:ind w:firstLine="397"/>
        <w:jc w:val="both"/>
      </w:pPr>
      <w:r>
        <w:rPr>
          <w:rFonts w:ascii="Times New Roman" w:hAnsi="Times New Roman" w:eastAsia="Times New Roman"/>
          <w:b w:val="0"/>
          <w:i w:val="0"/>
          <w:color w:val="20252B"/>
          <w:sz w:val="20"/>
        </w:rPr>
        <w:t>The transition is carried out in stages: an agreement on transitional autonomy with the state or coalition responsible for launch and registration; temporary charter and census of permanent population; creation of elected bodies; constitutional assembly and adoption of the constitution; bilateral agreements on jurisdiction, nationality, salvage, trade, defense, communications and responsibility for space objects; coordination of the state of registration and possible transfer or change of jurisdiction; then a declaration of statehood and a request for international recognition. Until a separate agreement on the transfer of jurisdiction, the station maintains a contractual relationship with the state of registration, and the space environment and the asteroid are not declared federal territory.</w:t>
      </w:r>
    </w:p>
    <w:p>
      <w:pPr>
        <w:pStyle w:val="Heading2"/>
        <w:keepNext/>
        <w:pageBreakBefore w:val="0"/>
        <w:spacing w:after="40"/>
        <w:jc w:val="left"/>
      </w:pPr>
      <w:r>
        <w:rPr>
          <w:rFonts w:ascii="Times New Roman" w:hAnsi="Times New Roman" w:eastAsia="Times New Roman"/>
          <w:b w:val="0"/>
          <w:i w:val="0"/>
          <w:color w:val="20252B"/>
          <w:sz w:val="20"/>
        </w:rPr>
        <w:t>13.10. Transitional stages of management</w:t>
      </w:r>
    </w:p>
    <w:p>
      <w:pPr>
        <w:pageBreakBefore w:val="0"/>
        <w:spacing w:after="80" w:line="269" w:lineRule="auto"/>
        <w:ind w:firstLine="397"/>
        <w:jc w:val="both"/>
      </w:pPr>
      <w:r>
        <w:rPr>
          <w:rFonts w:ascii="Times New Roman" w:hAnsi="Times New Roman" w:eastAsia="Times New Roman"/>
          <w:b w:val="0"/>
          <w:i w:val="0"/>
          <w:color w:val="20252B"/>
          <w:sz w:val="20"/>
        </w:rPr>
        <w:t>Stage I - operator administration with a charter of residents' rights. Stage II - autonomy with an elected council, executive administration, court or tribunal and independent safety inspector. Stage III is a constitutional state with permanent authorities and a negotiated process of recognition. Stage IV - a recognized state that independently conducts external relations within the framework of existing treaties and bears international responsibility.</w:t>
      </w:r>
    </w:p>
    <w:p>
      <w:pPr>
        <w:pStyle w:val="Heading2"/>
        <w:keepNext/>
        <w:pageBreakBefore w:val="0"/>
        <w:spacing w:after="40"/>
        <w:jc w:val="left"/>
      </w:pPr>
      <w:r>
        <w:rPr>
          <w:rFonts w:ascii="Times New Roman" w:hAnsi="Times New Roman" w:eastAsia="Times New Roman"/>
          <w:b w:val="0"/>
          <w:i w:val="0"/>
          <w:color w:val="20252B"/>
          <w:sz w:val="20"/>
        </w:rPr>
        <w:t>13.11. Open legal issues</w:t>
      </w:r>
    </w:p>
    <w:p>
      <w:pPr>
        <w:pageBreakBefore w:val="0"/>
        <w:spacing w:after="80" w:line="269" w:lineRule="auto"/>
        <w:ind w:firstLine="397"/>
        <w:jc w:val="both"/>
      </w:pPr>
      <w:r>
        <w:rPr>
          <w:rFonts w:ascii="Times New Roman" w:hAnsi="Times New Roman" w:eastAsia="Times New Roman"/>
          <w:b w:val="0"/>
          <w:i w:val="0"/>
          <w:color w:val="20252B"/>
          <w:sz w:val="20"/>
        </w:rPr>
        <w:t>Unresolved are state of registration and distribution of jurisdiction, currency and tax base, ownership of infrastructure, defense and limits of armed force, criminal jurisdiction over aliens, labor, family and inheritance laws, migration and quarantine, emergency transfer of power, permissible forms of economics and external security control. International recognition remains a political decision of other states and is not guaranteed by the mere fulfillment of formal criteria.</w:t>
      </w:r>
    </w:p>
    <w:p/>
    <w:p>
      <w:pPr>
        <w:spacing w:before="200"/>
        <w:jc w:val="center"/>
      </w:pPr>
      <w:r>
        <w:rPr>
          <w:b/>
          <w:color w:val="2E5496"/>
          <w:sz w:val="17"/>
        </w:rPr>
        <w:t>СПИСОК ЛИТЕРАТУРЫ РАЗДЕЛА / REFERENCES OF THIS SECTION</w:t>
      </w:r>
    </w:p>
    <w:p>
      <w:pPr>
        <w:ind w:left="340" w:hanging="340"/>
      </w:pPr>
      <w:r>
        <w:rPr>
          <w:sz w:val="18"/>
        </w:rPr>
        <w:t>1. Договор о принципах деятельности государств по исследованию и использованию космического пространства, включая Луну и другие небесные тела. 27 января 1967 г. Статьи II, VI, VIII.</w:t>
      </w:r>
    </w:p>
    <w:p>
      <w:pPr>
        <w:ind w:left="340" w:hanging="340"/>
      </w:pPr>
      <w:r>
        <w:rPr>
          <w:sz w:val="18"/>
        </w:rPr>
        <w:t>1. Treaty on Principles Governing the Activities of States in the Exploration and Use of Outer Space, including the Moon and Other Celestial Bodies. 27 January 1967. Articles II, VI, VIII.</w:t>
      </w:r>
    </w:p>
    <w:p>
      <w:r>
        <w:rPr>
          <w:b/>
          <w:sz w:val="18"/>
        </w:rPr>
        <w:t>Кроме того, раздел опирается на собственные допущения публикации:</w:t>
      </w:r>
    </w:p>
    <w:p>
      <w:pPr>
        <w:ind w:left="340" w:hanging="340"/>
      </w:pPr>
      <w:r>
        <w:rPr>
          <w:sz w:val="18"/>
        </w:rPr>
        <w:t>· Правовые акты: Договор о принципах деятельности государств по исследованию и использованию космического пространства, 1967 г., ст. II, VI, VIII.</w:t>
      </w:r>
    </w:p>
    <w:p>
      <w:pPr>
        <w:ind w:left="340" w:hanging="340"/>
      </w:pPr>
      <w:r>
        <w:rPr>
          <w:sz w:val="18"/>
        </w:rPr>
        <w:t>· Legal acts: Outer Space Treaty, 1967, Articles II, VI, VIII.</w:t>
      </w:r>
    </w:p>
    <w:p>
      <w:pPr>
        <w:ind w:left="340" w:hanging="340"/>
      </w:pPr>
      <w:r>
        <w:rPr>
          <w:sz w:val="18"/>
        </w:rPr>
        <w:t>· Правовой статус: разделы о праве и управлении описывают сценарии и ограничения.</w:t>
      </w:r>
    </w:p>
    <w:p>
      <w:pPr>
        <w:ind w:left="340" w:hanging="340"/>
      </w:pPr>
      <w:r>
        <w:rPr>
          <w:sz w:val="18"/>
        </w:rPr>
        <w:t>· Legal status: the law and governance sections describe scenarios and constraints.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