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14 / Section 14</w:t>
      </w:r>
    </w:p>
    <w:p>
      <w:pPr>
        <w:jc w:val="center"/>
      </w:pPr>
      <w:r>
        <w:rPr>
          <w:b/>
          <w:color w:val="1F3864"/>
          <w:sz w:val="26"/>
        </w:rPr>
        <w:t>14. АВАРИЙНЫЕ РЕЖИМЫ, РЕСУРС КОНСТРУКЦИИ И ПОРЯДОК ПОСТРОЙКИ</w:t>
      </w:r>
    </w:p>
    <w:p>
      <w:pPr>
        <w:jc w:val="center"/>
      </w:pPr>
      <w:r>
        <w:rPr>
          <w:b/>
          <w:color w:val="1F3864"/>
          <w:sz w:val="26"/>
        </w:rPr>
        <w:t>14. EMERGENCY MODES, STRUCTURE LIFE AND CONSTRUCTION PROCEDURE</w:t>
      </w:r>
    </w:p>
    <w:p>
      <w:pPr>
        <w:jc w:val="center"/>
      </w:pPr>
      <w:r>
        <w:rPr>
          <w:i/>
          <w:sz w:val="17"/>
        </w:rPr>
        <w:t>Редакция 8 · 31 октября 2026 г.  ·  документ 16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14. АВАРИЙНЫЕ РЕЖИМЫ, РЕСУРС КОНСТРУКЦИИ И ПОРЯДОК ПОСТРОЙКИ</w:t>
      </w:r>
    </w:p>
    <w:p>
      <w:pPr>
        <w:pageBreakBefore w:val="0"/>
        <w:spacing w:after="80" w:line="269" w:lineRule="auto"/>
        <w:ind w:firstLine="397"/>
        <w:jc w:val="both"/>
      </w:pPr>
      <w:r>
        <w:rPr>
          <w:rFonts w:ascii="Times New Roman" w:hAnsi="Times New Roman" w:eastAsia="Times New Roman"/>
          <w:b w:val="0"/>
          <w:i w:val="0"/>
          <w:color w:val="20252B"/>
          <w:sz w:val="20"/>
        </w:rPr>
        <w:t>Глава описывает аварийные режимы, ресурс конструкции и порядок постройки. Большая масса и объём станции увеличивают время развития многих аварийных процессов, но не отменяют требований к резервированию, мониторингу и испытаниям.</w:t>
      </w:r>
    </w:p>
    <w:p>
      <w:pPr>
        <w:pageBreakBefore w:val="0"/>
        <w:spacing w:after="80" w:line="269" w:lineRule="auto"/>
        <w:ind w:firstLine="397"/>
        <w:jc w:val="both"/>
      </w:pPr>
      <w:r>
        <w:rPr>
          <w:rFonts w:ascii="Times New Roman" w:hAnsi="Times New Roman" w:eastAsia="Times New Roman"/>
          <w:b w:val="0"/>
          <w:i w:val="0"/>
          <w:color w:val="20252B"/>
          <w:sz w:val="20"/>
        </w:rPr>
        <w:t>Обязательное правило опережающего предупреждения. Перед любым автоматическим закрытием или отключением, а также перед любым автоматическим открытием или включением любого объекта система обязана подать аудиопредупреждение. Если рядом с объектом имеется рабочий экран, одновременно обязательно выводится видеопредупреждение. Предупреждение должно быть подано до начала действия и назвать объект, выполняемое действие, причину и момент его выполнения: «Объект … будет закрыт/открыт/включён/отключён по причине … время выполнения …». Автоматика не считается начавшей действие до завершения этого сообщения; правило распространяется на двери, шлюзы, клапаны, питание, освещение, насосы, транспортные и иные исполнительные механизмы.</w:t>
      </w:r>
    </w:p>
    <w:p>
      <w:pPr>
        <w:pStyle w:val="Heading2"/>
        <w:keepNext/>
        <w:pageBreakBefore w:val="0"/>
        <w:spacing w:after="40"/>
        <w:jc w:val="left"/>
      </w:pPr>
      <w:r>
        <w:rPr>
          <w:rFonts w:ascii="Times New Roman" w:hAnsi="Times New Roman" w:eastAsia="Times New Roman"/>
          <w:b/>
          <w:i w:val="0"/>
          <w:color w:val="2F5D83"/>
          <w:sz w:val="25"/>
        </w:rPr>
        <w:t>14.1. Разгерметизация</w:t>
      </w:r>
    </w:p>
    <w:p>
      <w:pPr>
        <w:pageBreakBefore w:val="0"/>
        <w:spacing w:after="80" w:line="269" w:lineRule="auto"/>
        <w:ind w:firstLine="397"/>
        <w:jc w:val="both"/>
      </w:pPr>
      <w:r>
        <w:rPr>
          <w:rFonts w:ascii="Times New Roman" w:hAnsi="Times New Roman" w:eastAsia="Times New Roman"/>
          <w:b w:val="0"/>
          <w:i w:val="0"/>
          <w:color w:val="20252B"/>
          <w:sz w:val="20"/>
        </w:rPr>
        <w:t>Истечение воздуха в вакуум через отверстие происходит в звуковом режиме, и удельный расход при давлении 101,3 кПа и температуре 20 °C составляет 239 кг в секунду на квадратный метр отверстия. Отсюда время потери атмосферы, масса которой в одном цилиндре равна 3,77 млрд т.</w:t>
      </w:r>
    </w:p>
    <w:p>
      <w:pPr>
        <w:pageBreakBefore w:val="0"/>
        <w:spacing w:after="80" w:line="269" w:lineRule="auto"/>
        <w:ind w:firstLine="397"/>
        <w:jc w:val="both"/>
      </w:pPr>
      <w:r>
        <w:rPr>
          <w:rFonts w:ascii="Times New Roman" w:hAnsi="Times New Roman" w:eastAsia="Times New Roman"/>
          <w:b w:val="0"/>
          <w:i w:val="0"/>
          <w:color w:val="20252B"/>
          <w:sz w:val="20"/>
        </w:rPr>
        <w:t>Отверстие диаметром 100 мм даёт расход 1,9 кг/с; падение давления на один процент наступило бы через 636 лет. Отверстие диаметром 1 м — 188 кг/с, один процент за 6,4 года. Отверстие диаметром 10 м — 18,8 т/с, один процент за 23 суток. Даже полное разрушение устья шахты диаметром 30 м даёт один процент за трое суток, а полную потерю атмосферы — за год.</w:t>
      </w:r>
    </w:p>
    <w:p>
      <w:pPr>
        <w:pageBreakBefore w:val="0"/>
        <w:spacing w:after="80" w:line="269" w:lineRule="auto"/>
        <w:ind w:firstLine="397"/>
        <w:jc w:val="both"/>
      </w:pPr>
      <w:r>
        <w:rPr>
          <w:rFonts w:ascii="Times New Roman" w:hAnsi="Times New Roman" w:eastAsia="Times New Roman"/>
          <w:b w:val="0"/>
          <w:i w:val="0"/>
          <w:color w:val="20252B"/>
          <w:sz w:val="20"/>
        </w:rPr>
        <w:t>Вывод, существенный для всей идеологии безопасности станции: разгерметизация не является аварией немедленного действия. Это принципиальное отличие цилиндра от космического корабля или орбитальной станции, где пробой сантиметрового размера угрожает экипажу в минуты. Причина в отношении объёма к площади возможного отверстия: 3 613 км³ против нескольких квадратных метров. Требование мгновенного аварийного реагирования снимается; требуется надёжное обнаружение и плановая заделка.</w:t>
      </w:r>
    </w:p>
    <w:p>
      <w:pPr>
        <w:pageBreakBefore w:val="0"/>
        <w:spacing w:after="80" w:line="269" w:lineRule="auto"/>
        <w:ind w:firstLine="397"/>
        <w:jc w:val="both"/>
      </w:pPr>
      <w:r>
        <w:rPr>
          <w:rFonts w:ascii="Times New Roman" w:hAnsi="Times New Roman" w:eastAsia="Times New Roman"/>
          <w:b w:val="0"/>
          <w:i w:val="0"/>
          <w:color w:val="20252B"/>
          <w:sz w:val="20"/>
        </w:rPr>
        <w:t>Обнаружение ведётся по балансу давления: точность измерения 10 Па при абсолютном давлении 101 325 Па позволяет заметить утечку эквивалентом отверстия 300 мм в течение суток. Локализация — по акустическому и тепловому следу. Заделка производится наложением накладки с внутренней стороны, куда её прижимает само атмосферное давление 101,3 кПа, то есть 10,3 тонны на квадратный метр.</w:t>
      </w:r>
    </w:p>
    <w:p>
      <w:pPr>
        <w:pStyle w:val="Heading2"/>
        <w:keepNext/>
        <w:pageBreakBefore w:val="0"/>
        <w:spacing w:after="40"/>
        <w:jc w:val="left"/>
      </w:pPr>
      <w:r>
        <w:rPr>
          <w:rFonts w:ascii="Times New Roman" w:hAnsi="Times New Roman" w:eastAsia="Times New Roman"/>
          <w:b/>
          <w:i w:val="0"/>
          <w:color w:val="2F5D83"/>
          <w:sz w:val="25"/>
        </w:rPr>
        <w:t>14.2. Отказ энергоснабжения</w:t>
      </w:r>
    </w:p>
    <w:p>
      <w:pPr>
        <w:pageBreakBefore w:val="0"/>
        <w:spacing w:after="80" w:line="269" w:lineRule="auto"/>
        <w:ind w:firstLine="397"/>
        <w:jc w:val="both"/>
      </w:pPr>
      <w:r>
        <w:rPr>
          <w:rFonts w:ascii="Times New Roman" w:hAnsi="Times New Roman" w:eastAsia="Times New Roman"/>
          <w:b w:val="0"/>
          <w:i w:val="0"/>
          <w:color w:val="20252B"/>
          <w:sz w:val="20"/>
        </w:rPr>
        <w:t>Полная остановка реакторной установки прекращает освещение и работу тепловых насосов. Запас кислорода в атмосфере цилиндра при потреблении 306 600 т в год и массе кислорода 870 млн т составляет около 2 800 лет, поэтому удушье не является угрозой ни в каком мыслимом сроке ремонта.</w:t>
      </w:r>
    </w:p>
    <w:p>
      <w:pPr>
        <w:pageBreakBefore w:val="0"/>
        <w:spacing w:after="80" w:line="269" w:lineRule="auto"/>
        <w:ind w:firstLine="397"/>
        <w:jc w:val="both"/>
      </w:pPr>
      <w:r>
        <w:rPr>
          <w:rFonts w:ascii="Times New Roman" w:hAnsi="Times New Roman" w:eastAsia="Times New Roman"/>
          <w:b w:val="0"/>
          <w:i w:val="0"/>
          <w:color w:val="20252B"/>
          <w:sz w:val="20"/>
        </w:rPr>
        <w:t>Действительную угрозу создаёт тепловой режим. При прекращении подвода 186 ГВт светового потока и работы насосов цилиндр начинает остывать излучением. Теплоёмкость атмосферы, воды и грунта на порядок превышает суточный теплоприход, поэтому скорость остывания измеряется долями градуса в сутки, и запас времени на восстановление составляет недели. Тем не менее посевы страдают от темноты раньше: критический срок для растений — от двух до трёх недель.</w:t>
      </w:r>
    </w:p>
    <w:p>
      <w:pPr>
        <w:pageBreakBefore w:val="0"/>
        <w:spacing w:after="80" w:line="269" w:lineRule="auto"/>
        <w:ind w:firstLine="397"/>
        <w:jc w:val="both"/>
      </w:pPr>
      <w:r>
        <w:rPr>
          <w:rFonts w:ascii="Times New Roman" w:hAnsi="Times New Roman" w:eastAsia="Times New Roman"/>
          <w:b w:val="0"/>
          <w:i w:val="0"/>
          <w:color w:val="20252B"/>
          <w:sz w:val="20"/>
        </w:rPr>
        <w:t>Принимается резервирование: четыре реактора при потребности в трёх, независимые вводы, аккумуляторные подстанции на 6 часов для жизнеобеспечения и транспорта. Расчётный сценарий полного обесточивания — не эвакуация, а переход на режим выживания с сокращением освещения до минимума и приостановкой промышленности.</w:t>
      </w:r>
    </w:p>
    <w:p>
      <w:pPr>
        <w:pStyle w:val="Heading2"/>
        <w:keepNext/>
        <w:pageBreakBefore w:val="0"/>
        <w:spacing w:after="40"/>
        <w:jc w:val="left"/>
      </w:pPr>
      <w:r>
        <w:rPr>
          <w:rFonts w:ascii="Times New Roman" w:hAnsi="Times New Roman" w:eastAsia="Times New Roman"/>
          <w:b/>
          <w:i w:val="0"/>
          <w:color w:val="2F5D83"/>
          <w:sz w:val="25"/>
        </w:rPr>
        <w:t>14.3. Ресурс конструкции: коррозия и усталость</w:t>
      </w:r>
    </w:p>
    <w:p>
      <w:pPr>
        <w:pageBreakBefore w:val="0"/>
        <w:spacing w:after="80" w:line="269" w:lineRule="auto"/>
        <w:ind w:firstLine="397"/>
        <w:jc w:val="both"/>
      </w:pPr>
      <w:r>
        <w:rPr>
          <w:rFonts w:ascii="Times New Roman" w:hAnsi="Times New Roman" w:eastAsia="Times New Roman"/>
          <w:b w:val="0"/>
          <w:i w:val="0"/>
          <w:color w:val="20252B"/>
          <w:sz w:val="20"/>
        </w:rPr>
        <w:t>Коррозия. Внутренняя поверхность силового пояса контактирует с атмосферой обычного состава при относительной влажности около 50 % и температуре 20 °C, то есть находится в условиях мягкого умеренного климата. Скорость атмосферной коррозии стали в таких условиях составляет около 0,01 мм в год без покрытия и 0,001 мм в год с лакокрасочным покрытием. За 200 лет это даёт потерю 2,0 мм и 0,2 мм соответственно при толщине пояса 850 мм, то есть 0,24 % и 0,02 %. Коррозия ресурс конструкции не определяет.</w:t>
      </w:r>
    </w:p>
    <w:p>
      <w:pPr>
        <w:pageBreakBefore w:val="0"/>
        <w:spacing w:after="80" w:line="269" w:lineRule="auto"/>
        <w:ind w:firstLine="397"/>
        <w:jc w:val="both"/>
      </w:pPr>
      <w:r>
        <w:rPr>
          <w:rFonts w:ascii="Times New Roman" w:hAnsi="Times New Roman" w:eastAsia="Times New Roman"/>
          <w:b w:val="0"/>
          <w:i w:val="0"/>
          <w:color w:val="20252B"/>
          <w:sz w:val="20"/>
        </w:rPr>
        <w:t>Существенно иное: гермооболочка из нержавеющей стали отделяет силовой пояс от атмосферы (п. 4.2), и приведённые величины относятся к случаю её повреждения. Наружная поверхность находится в вакууме, где коррозии нет вовсе.</w:t>
      </w:r>
    </w:p>
    <w:p>
      <w:pPr>
        <w:pageBreakBefore w:val="0"/>
        <w:spacing w:after="80" w:line="269" w:lineRule="auto"/>
        <w:ind w:firstLine="397"/>
        <w:jc w:val="both"/>
      </w:pPr>
      <w:r>
        <w:rPr>
          <w:rFonts w:ascii="Times New Roman" w:hAnsi="Times New Roman" w:eastAsia="Times New Roman"/>
          <w:b w:val="0"/>
          <w:i w:val="0"/>
          <w:color w:val="20252B"/>
          <w:sz w:val="20"/>
        </w:rPr>
        <w:t>Усталость. Число циклов нагружения определяется не вращением (нагрузка от него постоянна), а колебаниями температуры и давления. Расчёт п. Б.14 даёт 73 000 циклов за 200 лет против базы испытаний 2·10⁶ циклов для стали 18Ni(300), то есть запас 27 крат. Ограничивающим является не усталость, а статическая прочность с запасом 1,53 (п. Б.14).</w:t>
      </w:r>
    </w:p>
    <w:p>
      <w:pPr>
        <w:pStyle w:val="Heading2"/>
        <w:keepNext/>
        <w:pageBreakBefore w:val="0"/>
        <w:spacing w:after="40"/>
        <w:jc w:val="left"/>
      </w:pPr>
      <w:r>
        <w:rPr>
          <w:rFonts w:ascii="Times New Roman" w:hAnsi="Times New Roman" w:eastAsia="Times New Roman"/>
          <w:b/>
          <w:i w:val="0"/>
          <w:color w:val="2F5D83"/>
          <w:sz w:val="25"/>
        </w:rPr>
        <w:t>14.4. Вибрации и резонансы оболочки</w:t>
      </w:r>
    </w:p>
    <w:p>
      <w:pPr>
        <w:pageBreakBefore w:val="0"/>
        <w:spacing w:after="80" w:line="269" w:lineRule="auto"/>
        <w:ind w:firstLine="397"/>
        <w:jc w:val="both"/>
      </w:pPr>
      <w:r>
        <w:rPr>
          <w:rFonts w:ascii="Times New Roman" w:hAnsi="Times New Roman" w:eastAsia="Times New Roman"/>
          <w:b w:val="0"/>
          <w:i w:val="0"/>
          <w:color w:val="20252B"/>
          <w:sz w:val="20"/>
        </w:rPr>
        <w:t>Опасение резонанса вращающейся оболочки проверено расчётом собственных частот кольцевых мод цилиндра радиусом 5 000 м с толщиной стенки 850 мм. Для второй моды частота составляет 2,1·10⁻⁵ Гц, для пятой — 1,9·10⁻⁴ Гц. Частота вращения равна 7,05·10⁻³ Гц, то есть в 37 раз превышает высшую из рассмотренных мод.</w:t>
      </w:r>
    </w:p>
    <w:p>
      <w:pPr>
        <w:pageBreakBefore w:val="0"/>
        <w:spacing w:after="80" w:line="269" w:lineRule="auto"/>
        <w:ind w:firstLine="397"/>
        <w:jc w:val="both"/>
      </w:pPr>
      <w:r>
        <w:rPr>
          <w:rFonts w:ascii="Times New Roman" w:hAnsi="Times New Roman" w:eastAsia="Times New Roman"/>
          <w:b w:val="0"/>
          <w:i w:val="0"/>
          <w:color w:val="20252B"/>
          <w:sz w:val="20"/>
        </w:rPr>
        <w:t>Резонанс, таким образом, исключён: вынуждающая частота лежит намного выше спектра собственных колебаний оболочки, и конструкция для вращения ведёт себя как абсолютно жёсткая. Источником вибраций остаётся не оболочка, а дисбаланс (п. 11.7) и работа механизмов; и то, и другое парируется балансировочными цистернами и обычной виброизоляцией.</w:t>
      </w:r>
    </w:p>
    <w:p>
      <w:pPr>
        <w:pStyle w:val="Heading2"/>
        <w:keepNext/>
        <w:pageBreakBefore w:val="0"/>
        <w:spacing w:after="40"/>
        <w:jc w:val="left"/>
      </w:pPr>
      <w:r>
        <w:rPr>
          <w:rFonts w:ascii="Times New Roman" w:hAnsi="Times New Roman" w:eastAsia="Times New Roman"/>
          <w:b/>
          <w:i w:val="0"/>
          <w:color w:val="2F5D83"/>
          <w:sz w:val="25"/>
        </w:rPr>
        <w:t>14.5. Порядок постройки</w:t>
      </w:r>
    </w:p>
    <w:p>
      <w:pPr>
        <w:pageBreakBefore w:val="0"/>
        <w:spacing w:after="80" w:line="269" w:lineRule="auto"/>
        <w:ind w:firstLine="397"/>
        <w:jc w:val="both"/>
      </w:pPr>
      <w:r>
        <w:rPr>
          <w:rFonts w:ascii="Times New Roman" w:hAnsi="Times New Roman" w:eastAsia="Times New Roman"/>
          <w:b w:val="0"/>
          <w:i w:val="0"/>
          <w:color w:val="20252B"/>
          <w:sz w:val="20"/>
        </w:rPr>
        <w:t>Очерёдность работ определяется тем, что цилиндр нельзя заселить частично: обитаемый объём герметичен и неделим. Последовательность работ такова.</w:t>
      </w:r>
    </w:p>
    <w:p>
      <w:pPr>
        <w:pageBreakBefore w:val="0"/>
        <w:spacing w:after="80" w:line="269" w:lineRule="auto"/>
        <w:ind w:firstLine="397"/>
        <w:jc w:val="both"/>
      </w:pPr>
      <w:r>
        <w:rPr>
          <w:rFonts w:ascii="Times New Roman" w:hAnsi="Times New Roman" w:eastAsia="Times New Roman"/>
          <w:b w:val="0"/>
          <w:i w:val="0"/>
          <w:color w:val="20252B"/>
          <w:sz w:val="20"/>
        </w:rPr>
        <w:t>Этап 1 — развёртывание добывающего комплекса на (6178) 1986 DA и транспортной линии к точке L1. Этап 2 — сборка силового набора первого цилиндра: шпангоуты, затем стрингеры (лист 7, узел I). Этап 3 — навеска панелей обшивки от середины к торцам с контролем швов (лист 7, узел II). Этап 4 — торцевые купола и подшипниковые узлы. Этап 5 — гермооболочка, изоляция, радиационная защита. Этап 6 — раскрутка до 0,423 об/мин, наддув атмосферой, укладка грунта и залив водоёмов. Этап 7 — осевые балки, инженерные сети, транспорт (гл. 12). Этап 8 — заселение через карантинный контур, 10 лет (п. 9.2). Второй цилиндр строится по той же схеме параллельно с отставанием, соединение — только по осям через ферменную раму.</w:t>
      </w:r>
    </w:p>
    <w:p>
      <w:pPr>
        <w:pageBreakBefore w:val="0"/>
        <w:spacing w:after="80" w:line="269" w:lineRule="auto"/>
        <w:ind w:firstLine="397"/>
        <w:jc w:val="both"/>
      </w:pPr>
      <w:r>
        <w:rPr>
          <w:rFonts w:ascii="Times New Roman" w:hAnsi="Times New Roman" w:eastAsia="Times New Roman"/>
          <w:b w:val="0"/>
          <w:i w:val="0"/>
          <w:color w:val="20252B"/>
          <w:sz w:val="20"/>
        </w:rPr>
        <w:t>Ключевое ограничение порядка: раскрутка производится до наддува, а не после. Вращение пустой оболочки безопасно, тогда как раскрутка объёма с уложенным грунтом и залитой водой потребовала бы удержания незакреплённых масс на растущей центробежной силе.</w:t>
      </w:r>
    </w:p>
    <w:p>
      <w:pPr>
        <w:pStyle w:val="Heading2"/>
        <w:keepNext/>
        <w:pageBreakBefore w:val="0"/>
        <w:spacing w:after="40"/>
        <w:jc w:val="left"/>
      </w:pPr>
      <w:r>
        <w:rPr>
          <w:rFonts w:ascii="Times New Roman" w:hAnsi="Times New Roman" w:eastAsia="Times New Roman"/>
          <w:b/>
          <w:i w:val="0"/>
          <w:color w:val="2F5D83"/>
          <w:sz w:val="25"/>
        </w:rPr>
        <w:t>14.6. Медицинское обеспечение</w:t>
      </w:r>
    </w:p>
    <w:p>
      <w:pPr>
        <w:pageBreakBefore w:val="0"/>
        <w:spacing w:after="80" w:line="269" w:lineRule="auto"/>
        <w:ind w:firstLine="397"/>
        <w:jc w:val="both"/>
      </w:pPr>
      <w:r>
        <w:rPr>
          <w:rFonts w:ascii="Times New Roman" w:hAnsi="Times New Roman" w:eastAsia="Times New Roman"/>
          <w:b w:val="0"/>
          <w:i w:val="0"/>
          <w:color w:val="20252B"/>
          <w:sz w:val="20"/>
        </w:rPr>
        <w:t>При населении 1 000 000 человек и земных нормах требуется около 4 000 врачей и 40 больничных коек на 10 000 жителей, то есть 4 000 коек. Отличия от земной медицины два. Первое: станция не имеет внешнего резерва — эвакуация на Землю занимает недели, поэтому медицинская служба обязана быть полной, включая специальности, которые в городе сопоставимого размера обычно выносятся в региональные центры. Второе: карантинный контур (гл. 9) снимает с медицины большую часть инфекционной нагрузки, характерной для земных городов.</w:t>
      </w:r>
    </w:p>
    <w:p>
      <w:pPr>
        <w:pageBreakBefore w:val="0"/>
        <w:spacing w:after="80" w:line="269" w:lineRule="auto"/>
        <w:ind w:firstLine="397"/>
        <w:jc w:val="both"/>
      </w:pPr>
      <w:r>
        <w:rPr>
          <w:rFonts w:ascii="Times New Roman" w:hAnsi="Times New Roman" w:eastAsia="Times New Roman"/>
          <w:b w:val="0"/>
          <w:i w:val="0"/>
          <w:color w:val="20252B"/>
          <w:sz w:val="20"/>
        </w:rPr>
        <w:t>Особенности, порождаемые самой станцией: пониженная тяжесть в приосевых зонах (медицинские противопоказания к работам в них), кориолисовы эффекты при быстром движении по окружности (п. 12.2), а также психологические последствия замкнутости и невозможности выхода наружу. Психологические последствия пока не рассчитаны и признаются отдельным открытым вопросом.</w:t>
      </w:r>
    </w:p>
    <w:p>
      <w:pPr>
        <w:pStyle w:val="Heading2"/>
        <w:keepNext/>
        <w:pageBreakBefore w:val="0"/>
        <w:spacing w:after="40"/>
        <w:jc w:val="left"/>
      </w:pPr>
      <w:r>
        <w:rPr>
          <w:rFonts w:ascii="Times New Roman" w:hAnsi="Times New Roman" w:eastAsia="Times New Roman"/>
          <w:b/>
          <w:i w:val="0"/>
          <w:color w:val="2F5D83"/>
          <w:sz w:val="25"/>
        </w:rPr>
        <w:t>14.7. Резервирование установок замыкания углеродного цикла</w:t>
      </w:r>
    </w:p>
    <w:p>
      <w:pPr>
        <w:pageBreakBefore w:val="0"/>
        <w:spacing w:after="80" w:line="269" w:lineRule="auto"/>
        <w:ind w:firstLine="397"/>
        <w:jc w:val="both"/>
      </w:pPr>
      <w:r>
        <w:rPr>
          <w:rFonts w:ascii="Times New Roman" w:hAnsi="Times New Roman" w:eastAsia="Times New Roman"/>
          <w:b w:val="0"/>
          <w:i w:val="0"/>
          <w:color w:val="20252B"/>
          <w:sz w:val="20"/>
        </w:rPr>
        <w:t>Установки переработки растительных остатков замыкают 73 % технического оборота углерода и относятся к системам первой категории наравне с энергетикой; их резервирование подлежит отдельному проектированию.</w:t>
      </w:r>
    </w:p>
    <w:p>
      <w:pPr>
        <w:pageBreakBefore w:val="0"/>
        <w:spacing w:after="80" w:line="269" w:lineRule="auto"/>
        <w:ind w:firstLine="397"/>
        <w:jc w:val="both"/>
      </w:pPr>
      <w:r>
        <w:rPr>
          <w:rFonts w:ascii="Times New Roman" w:hAnsi="Times New Roman" w:eastAsia="Times New Roman"/>
          <w:b w:val="0"/>
          <w:i w:val="0"/>
          <w:color w:val="20252B"/>
          <w:sz w:val="20"/>
        </w:rPr>
        <w:t>Потребная производительность. Технический возврат 17,8 млн т углекислого газа в год отвечает 4,85 млн т углерода, что при содержании углерода в сухом веществе 45 % даёт 10,79 млн т сухой органики в год, то есть 29,5 тыс. т в сутки. Это солома, корни, ботва, древесный опад и несъедобная часть урожая.</w:t>
      </w:r>
    </w:p>
    <w:p>
      <w:pPr>
        <w:pageBreakBefore w:val="0"/>
        <w:spacing w:after="80" w:line="269" w:lineRule="auto"/>
        <w:ind w:firstLine="397"/>
        <w:jc w:val="both"/>
      </w:pPr>
      <w:r>
        <w:rPr>
          <w:rFonts w:ascii="Times New Roman" w:hAnsi="Times New Roman" w:eastAsia="Times New Roman"/>
          <w:b w:val="0"/>
          <w:i w:val="0"/>
          <w:color w:val="20252B"/>
          <w:sz w:val="20"/>
        </w:rPr>
        <w:t>Запас времени при полной остановке. Если переработка встанет целиком, углекислый газ атмосферы начнёт расходоваться фотосинтезом без возмещения со скоростью 17,8 млн т в год. Из имеющихся 4,57 млн т расходуемой является часть до падения концентрации к 150 ppm, ниже которой фотосинтез угнетается, то есть 2,86 млн т. Отсюда время до остановки фотосинтеза — 58 суток.</w:t>
      </w:r>
    </w:p>
    <w:p>
      <w:pPr>
        <w:pageBreakBefore w:val="0"/>
        <w:spacing w:after="80" w:line="269" w:lineRule="auto"/>
        <w:ind w:firstLine="397"/>
        <w:jc w:val="both"/>
      </w:pPr>
      <w:r>
        <w:rPr>
          <w:rFonts w:ascii="Times New Roman" w:hAnsi="Times New Roman" w:eastAsia="Times New Roman"/>
          <w:b w:val="0"/>
          <w:i w:val="0"/>
          <w:color w:val="20252B"/>
          <w:sz w:val="20"/>
        </w:rPr>
        <w:t>Величину следует истолковать верно. 58 суток — это не мало: для сравнения, разгерметизация пробоиной 10 м даёт 23 суток (п. 14.1), а отказ освещения губит посевы за 2–3 недели (п. 14.2). Установки замыкания цикла отнесены к первой категории не по быстроте наступления последствий, а по их необратимости: прочие отказы восстановимы, размыкание углеродного цикла означает постепенную гибель биосферы.</w:t>
      </w:r>
    </w:p>
    <w:p>
      <w:pPr>
        <w:pageBreakBefore w:val="0"/>
        <w:spacing w:after="80" w:line="269" w:lineRule="auto"/>
        <w:ind w:firstLine="397"/>
        <w:jc w:val="both"/>
      </w:pPr>
      <w:r>
        <w:rPr>
          <w:rFonts w:ascii="Times New Roman" w:hAnsi="Times New Roman" w:eastAsia="Times New Roman"/>
          <w:b w:val="0"/>
          <w:i w:val="0"/>
          <w:color w:val="20252B"/>
          <w:sz w:val="20"/>
        </w:rPr>
        <w:t>Принятая схема резервирования. Установки размещаются при каждом из двенадцати поселений, по одной площадке. Резерв принят по схеме N+2: рабочих площадок двенадцать, всего четырнадцать, избыток 17 %. При отказе одной площадки оставшиеся тринадцать несут по 2 272 т в сутки, то есть 92 % номинала, что находится в пределах штатного режима и не требует ограничений. Резерв горячий, то есть резервные площадки постоянно в работе с неполной загрузкой, а не в холодном ожидании: пуск метантенка занимает недели на выход микрофлоры на режим.</w:t>
      </w:r>
    </w:p>
    <w:p>
      <w:pPr>
        <w:pageBreakBefore w:val="0"/>
        <w:spacing w:after="80" w:line="269" w:lineRule="auto"/>
        <w:ind w:firstLine="397"/>
        <w:jc w:val="both"/>
      </w:pPr>
      <w:r>
        <w:rPr>
          <w:rFonts w:ascii="Times New Roman" w:hAnsi="Times New Roman" w:eastAsia="Times New Roman"/>
          <w:b w:val="0"/>
          <w:i w:val="0"/>
          <w:color w:val="20252B"/>
          <w:sz w:val="20"/>
        </w:rPr>
        <w:t>Дробление на модули. Потребный объём реакторов при времени пребывания 20 суток и загрузке 8 % сухого вещества составляет 7,38 млн м³. На одну площадку приходится 527 тыс. м³, что в едином аппарате означало бы цилиндр диаметром 164 м — величина нереальная. Поэтому площадка дробится на 20 модулей по 26 тыс. м³, каждый диаметром 37 м при высоте 25 м, что отвечает верхнему пределу земных метантенков. Всего на станции 280 аппаратов. Дробление есть дополнительный уровень резервирования: отказ единичного модуля отнимает 0,36 % производительности.</w:t>
      </w:r>
    </w:p>
    <w:p>
      <w:pPr>
        <w:pageBreakBefore w:val="0"/>
        <w:spacing w:after="80" w:line="269" w:lineRule="auto"/>
        <w:ind w:firstLine="397"/>
        <w:jc w:val="both"/>
      </w:pPr>
      <w:r>
        <w:rPr>
          <w:rFonts w:ascii="Times New Roman" w:hAnsi="Times New Roman" w:eastAsia="Times New Roman"/>
          <w:b w:val="0"/>
          <w:i w:val="0"/>
          <w:color w:val="20252B"/>
          <w:sz w:val="20"/>
        </w:rPr>
        <w:t>Энергетика процесса. Затраты на сбраживание при 0,5 ГДж на тонну сухого вещества составляют 0,17 ГВт, то есть 0,02 % мощности станции. Выход биогаза при 350 м³ на тонну и теплотворности 22 МДж/м³ отвечает 2,6 ГВт. Процесс энергоположителен: установки замыкания цикла отдают энергии больше, чем потребляют, и в отдельной строке энергобаланса (п. 7.1) не нуждаются.</w:t>
      </w:r>
    </w:p>
    <w:p>
      <w:pPr>
        <w:pageBreakBefore w:val="0"/>
        <w:spacing w:after="80" w:line="269" w:lineRule="auto"/>
        <w:ind w:firstLine="397"/>
        <w:jc w:val="both"/>
      </w:pPr>
      <w:r>
        <w:rPr>
          <w:rFonts w:ascii="Times New Roman" w:hAnsi="Times New Roman" w:eastAsia="Times New Roman"/>
          <w:b w:val="0"/>
          <w:i w:val="0"/>
          <w:color w:val="20252B"/>
          <w:sz w:val="20"/>
        </w:rPr>
        <w:t>Буферное накопление. При простое необработанное сырьё накапливается со скоростью 29,5 тыс. т в сутки; за полные 58 суток это 1,71 млн т, при насыпной плотности 0,3 т/м³ — 5,71 млн м³, что отвечает площадке 1,14 км² при высоте бурта 5 м. Такая площадка предусматривается при каждом поселении и в обычное время служит складом подстилочного материала. Наличие буфера означает, что остановка переработки не влечёт потери вещества: цикл замыкается с запаздыванием, но не разрывается.</w:t>
      </w:r>
    </w:p>
    <w:p>
      <w:pPr>
        <w:pageBreakBefore w:val="0"/>
        <w:spacing w:after="80" w:line="269" w:lineRule="auto"/>
        <w:ind w:firstLine="397"/>
        <w:jc w:val="both"/>
      </w:pPr>
      <w:r>
        <w:rPr>
          <w:rFonts w:ascii="Times New Roman" w:hAnsi="Times New Roman" w:eastAsia="Times New Roman"/>
          <w:b w:val="0"/>
          <w:i w:val="0"/>
          <w:color w:val="20252B"/>
          <w:sz w:val="20"/>
        </w:rPr>
        <w:t>Требование к эксплуатации. Концентрация углекислого газа в атмосфере станции подлежит непрерывному измерению и является контрольным показателем состояния биосферы: её устойчивое снижение свидетельствует об отставании переработки прежде, чем это скажется на урожайности. Уставка предупреждения — 350 ppm, аварийная — 250 ppm.</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14. EMERGENCY MODES, STRUCTURE LIFE AND CONSTRUCTION PROCEDURE</w:t>
      </w:r>
    </w:p>
    <w:p>
      <w:pPr>
        <w:pageBreakBefore w:val="0"/>
        <w:spacing w:after="80" w:line="269" w:lineRule="auto"/>
        <w:ind w:firstLine="397"/>
        <w:jc w:val="both"/>
      </w:pPr>
      <w:r>
        <w:rPr>
          <w:rFonts w:ascii="Times New Roman" w:hAnsi="Times New Roman" w:eastAsia="Times New Roman"/>
          <w:b w:val="0"/>
          <w:i w:val="0"/>
          <w:color w:val="20252B"/>
          <w:sz w:val="20"/>
        </w:rPr>
        <w:t>The chapter describes emergency modes, structural life and construction procedures. The large mass and volume of the station increases the development time of many emergency processes, but does not eliminate the requirements for redundancy, monitoring and testing.</w:t>
      </w:r>
    </w:p>
    <w:p>
      <w:pPr>
        <w:pageBreakBefore w:val="0"/>
        <w:spacing w:after="80" w:line="269" w:lineRule="auto"/>
        <w:ind w:firstLine="397"/>
        <w:jc w:val="both"/>
      </w:pPr>
      <w:r>
        <w:rPr>
          <w:rFonts w:ascii="Times New Roman" w:hAnsi="Times New Roman" w:eastAsia="Times New Roman"/>
          <w:b w:val="0"/>
          <w:i w:val="0"/>
          <w:color w:val="20252B"/>
          <w:sz w:val="20"/>
        </w:rPr>
        <w:t>Mandatory advance warning rule. Before any automatic closing or shutdown, and before any automatic opening or activation of any object, the system must provide an audio warning. If there is a working screen near the object, a video warning must be displayed at the same time. The warning must be given before the start of the action and name the object, the action being performed, the reason and the moment of its execution: “The object... will be closed/opened/enabled/disabled for the reason... execution time...”. The automation is not considered to have started action until the completion of this message; the rule applies to doors, gateways, valves, power supply, lighting, pumps, transport and other actuators.</w:t>
      </w:r>
    </w:p>
    <w:p>
      <w:pPr>
        <w:pStyle w:val="Heading2"/>
        <w:keepNext/>
        <w:pageBreakBefore w:val="0"/>
        <w:spacing w:after="40"/>
        <w:jc w:val="left"/>
      </w:pPr>
      <w:r>
        <w:rPr>
          <w:rFonts w:ascii="Times New Roman" w:hAnsi="Times New Roman" w:eastAsia="Times New Roman"/>
          <w:b w:val="0"/>
          <w:i w:val="0"/>
          <w:color w:val="20252B"/>
          <w:sz w:val="20"/>
        </w:rPr>
        <w:t>14.1. Depressurization</w:t>
      </w:r>
    </w:p>
    <w:p>
      <w:pPr>
        <w:pageBreakBefore w:val="0"/>
        <w:spacing w:after="80" w:line="269" w:lineRule="auto"/>
        <w:ind w:firstLine="397"/>
        <w:jc w:val="both"/>
      </w:pPr>
      <w:r>
        <w:rPr>
          <w:rFonts w:ascii="Times New Roman" w:hAnsi="Times New Roman" w:eastAsia="Times New Roman"/>
          <w:b w:val="0"/>
          <w:i w:val="0"/>
          <w:color w:val="20252B"/>
          <w:sz w:val="20"/>
        </w:rPr>
        <w:t>The flow of air into a vacuum through the hole occurs in sound mode, and the specific flow rate at a pressure of 101.3 kPa and a temperature of 20 °C is 239 kg per second per square meter of the hole. Hence the time of loss of the atmosphere, the mass of which in one cylinder is 3.77 billion tons.</w:t>
      </w:r>
    </w:p>
    <w:p>
      <w:pPr>
        <w:pageBreakBefore w:val="0"/>
        <w:spacing w:after="80" w:line="269" w:lineRule="auto"/>
        <w:ind w:firstLine="397"/>
        <w:jc w:val="both"/>
      </w:pPr>
      <w:r>
        <w:rPr>
          <w:rFonts w:ascii="Times New Roman" w:hAnsi="Times New Roman" w:eastAsia="Times New Roman"/>
          <w:b w:val="0"/>
          <w:i w:val="0"/>
          <w:color w:val="20252B"/>
          <w:sz w:val="20"/>
        </w:rPr>
        <w:t>A hole with a diameter of 100 mm gives a flow rate of 1.9 kg/s; a one percent drop in pressure would occur in 636 years. A hole with a diameter of 1 m - 188 kg/s, one percent in 6.4 years. A hole with a diameter of 10 m - 18.8 t/s, one percent in 23 days. Even the complete destruction of the mouth of a mine with a diameter of 30 m gives one percent in three days, and a complete loss of atmosphere in a year.</w:t>
      </w:r>
    </w:p>
    <w:p>
      <w:pPr>
        <w:pageBreakBefore w:val="0"/>
        <w:spacing w:after="80" w:line="269" w:lineRule="auto"/>
        <w:ind w:firstLine="397"/>
        <w:jc w:val="both"/>
      </w:pPr>
      <w:r>
        <w:rPr>
          <w:rFonts w:ascii="Times New Roman" w:hAnsi="Times New Roman" w:eastAsia="Times New Roman"/>
          <w:b w:val="0"/>
          <w:i w:val="0"/>
          <w:color w:val="20252B"/>
          <w:sz w:val="20"/>
        </w:rPr>
        <w:t>A conclusion that is significant for the entire ideology of plant safety: depressurization is not an immediate emergency. This is a fundamental difference between a cylinder and a spacecraft or orbital station, where a centimeter-sized breakdown threatens the crew in minutes. The reason is the ratio of volume to area of the possible hole: 3,613 km³ versus several square meters. The requirement for immediate emergency response is removed; Reliable detection and planned remediation are required.</w:t>
      </w:r>
    </w:p>
    <w:p>
      <w:pPr>
        <w:pageBreakBefore w:val="0"/>
        <w:spacing w:after="80" w:line="269" w:lineRule="auto"/>
        <w:ind w:firstLine="397"/>
        <w:jc w:val="both"/>
      </w:pPr>
      <w:r>
        <w:rPr>
          <w:rFonts w:ascii="Times New Roman" w:hAnsi="Times New Roman" w:eastAsia="Times New Roman"/>
          <w:b w:val="0"/>
          <w:i w:val="0"/>
          <w:color w:val="20252B"/>
          <w:sz w:val="20"/>
        </w:rPr>
        <w:t>Detection is carried out by pressure balance: a measurement accuracy of 10 Pa at an absolute pressure of 101,325 Pa allows you to notice a leak equivalent to a 300 mm hole within 24 hours. Localization - by acoustic and thermal trace. The sealing is done by applying a lining from the inside, where it is pressed by the atmospheric pressure itself of 101.3 kPa, that is, 10.3 tons per square meter.</w:t>
      </w:r>
    </w:p>
    <w:p>
      <w:pPr>
        <w:pStyle w:val="Heading2"/>
        <w:keepNext/>
        <w:pageBreakBefore w:val="0"/>
        <w:spacing w:after="40"/>
        <w:jc w:val="left"/>
      </w:pPr>
      <w:r>
        <w:rPr>
          <w:rFonts w:ascii="Times New Roman" w:hAnsi="Times New Roman" w:eastAsia="Times New Roman"/>
          <w:b w:val="0"/>
          <w:i w:val="0"/>
          <w:color w:val="20252B"/>
          <w:sz w:val="20"/>
        </w:rPr>
        <w:t>14.2. Power failure</w:t>
      </w:r>
    </w:p>
    <w:p>
      <w:pPr>
        <w:pageBreakBefore w:val="0"/>
        <w:spacing w:after="80" w:line="269" w:lineRule="auto"/>
        <w:ind w:firstLine="397"/>
        <w:jc w:val="both"/>
      </w:pPr>
      <w:r>
        <w:rPr>
          <w:rFonts w:ascii="Times New Roman" w:hAnsi="Times New Roman" w:eastAsia="Times New Roman"/>
          <w:b w:val="0"/>
          <w:i w:val="0"/>
          <w:color w:val="20252B"/>
          <w:sz w:val="20"/>
        </w:rPr>
        <w:t>A complete shutdown of the reactor plant stops lighting and heat pumps. The supply of oxygen in the atmosphere of the cylinder with a consumption of 306,600 tons per year and an oxygen mass of 870 million tons is about 2,800 years, so suffocation is not a threat during any conceivable period of repair.</w:t>
      </w:r>
    </w:p>
    <w:p>
      <w:pPr>
        <w:pageBreakBefore w:val="0"/>
        <w:spacing w:after="80" w:line="269" w:lineRule="auto"/>
        <w:ind w:firstLine="397"/>
        <w:jc w:val="both"/>
      </w:pPr>
      <w:r>
        <w:rPr>
          <w:rFonts w:ascii="Times New Roman" w:hAnsi="Times New Roman" w:eastAsia="Times New Roman"/>
          <w:b w:val="0"/>
          <w:i w:val="0"/>
          <w:color w:val="20252B"/>
          <w:sz w:val="20"/>
        </w:rPr>
        <w:t>The real threat is created by the thermal regime. When the supply of 186 GW of light flux and the operation of the pumps are stopped, the cylinder begins to cool down by radiation. The heat capacity of the atmosphere, water and soil is an order of magnitude higher than the daily heat gain, so the cooling rate is measured in fractions of a degree per day, and the recovery time is weeks. However, crops suffer from darkness earlier: the critical period for plants is two to three weeks.</w:t>
      </w:r>
    </w:p>
    <w:p>
      <w:pPr>
        <w:pageBreakBefore w:val="0"/>
        <w:spacing w:after="80" w:line="269" w:lineRule="auto"/>
        <w:ind w:firstLine="397"/>
        <w:jc w:val="both"/>
      </w:pPr>
      <w:r>
        <w:rPr>
          <w:rFonts w:ascii="Times New Roman" w:hAnsi="Times New Roman" w:eastAsia="Times New Roman"/>
          <w:b w:val="0"/>
          <w:i w:val="0"/>
          <w:color w:val="20252B"/>
          <w:sz w:val="20"/>
        </w:rPr>
        <w:t>Redundancy is accepted: four reactors when three are needed, independent inputs, battery substations for 6 hours for life support and transport. The calculated scenario of a complete blackout is not evacuation, but a transition to survival mode with lighting reduced to a minimum and the suspension of industry.</w:t>
      </w:r>
    </w:p>
    <w:p>
      <w:pPr>
        <w:pStyle w:val="Heading2"/>
        <w:keepNext/>
        <w:pageBreakBefore w:val="0"/>
        <w:spacing w:after="40"/>
        <w:jc w:val="left"/>
      </w:pPr>
      <w:r>
        <w:rPr>
          <w:rFonts w:ascii="Times New Roman" w:hAnsi="Times New Roman" w:eastAsia="Times New Roman"/>
          <w:b w:val="0"/>
          <w:i w:val="0"/>
          <w:color w:val="20252B"/>
          <w:sz w:val="20"/>
        </w:rPr>
        <w:t>14.3. Structural life: corrosion and fatigue</w:t>
      </w:r>
    </w:p>
    <w:p>
      <w:pPr>
        <w:pageBreakBefore w:val="0"/>
        <w:spacing w:after="80" w:line="269" w:lineRule="auto"/>
        <w:ind w:firstLine="397"/>
        <w:jc w:val="both"/>
      </w:pPr>
      <w:r>
        <w:rPr>
          <w:rFonts w:ascii="Times New Roman" w:hAnsi="Times New Roman" w:eastAsia="Times New Roman"/>
          <w:b w:val="0"/>
          <w:i w:val="0"/>
          <w:color w:val="20252B"/>
          <w:sz w:val="20"/>
        </w:rPr>
        <w:t>Corrosion. The inner surface of the power belt is in contact with an atmosphere of normal composition with a relative humidity of about 50% and a temperature of 20 °C, that is, it is in a mild temperate climate. The rate of atmospheric corrosion of steel under such conditions is about 0.01 mm per year without coating and 0.001 mm per year with paint coating. Over 200 years, this gives a loss of 2.0 mm and 0.2 mm, respectively, with a belt thickness of 850 mm, that is, 0.24% and 0.02%. Corrosion does not determine the service life of a structure.</w:t>
      </w:r>
    </w:p>
    <w:p>
      <w:pPr>
        <w:pageBreakBefore w:val="0"/>
        <w:spacing w:after="80" w:line="269" w:lineRule="auto"/>
        <w:ind w:firstLine="397"/>
        <w:jc w:val="both"/>
      </w:pPr>
      <w:r>
        <w:rPr>
          <w:rFonts w:ascii="Times New Roman" w:hAnsi="Times New Roman" w:eastAsia="Times New Roman"/>
          <w:b w:val="0"/>
          <w:i w:val="0"/>
          <w:color w:val="20252B"/>
          <w:sz w:val="20"/>
        </w:rPr>
        <w:t>Something significantly different: a stainless steel containment separates the power belt from the atmosphere (clause 4.2), and the given values refer to the case of its damage. The outer surface is in a vacuum, where there is no corrosion at all.</w:t>
      </w:r>
    </w:p>
    <w:p>
      <w:pPr>
        <w:pageBreakBefore w:val="0"/>
        <w:spacing w:after="80" w:line="269" w:lineRule="auto"/>
        <w:ind w:firstLine="397"/>
        <w:jc w:val="both"/>
      </w:pPr>
      <w:r>
        <w:rPr>
          <w:rFonts w:ascii="Times New Roman" w:hAnsi="Times New Roman" w:eastAsia="Times New Roman"/>
          <w:b w:val="0"/>
          <w:i w:val="0"/>
          <w:color w:val="20252B"/>
          <w:sz w:val="20"/>
        </w:rPr>
        <w:t>Fatigue. The number of loading cycles is determined not by rotation (the load from it is constant), but by temperature and pressure fluctuations. Calculation of point B.14 gives 73,000 cycles in 200 years against a test base of 2·10⁶ cycles for 18Ni(300) steel, that is, a margin of 27 times. The limiting factor is not fatigue, but static strength with a margin of 1.53 (clause B.14).</w:t>
      </w:r>
    </w:p>
    <w:p>
      <w:pPr>
        <w:pStyle w:val="Heading2"/>
        <w:keepNext/>
        <w:pageBreakBefore w:val="0"/>
        <w:spacing w:after="40"/>
        <w:jc w:val="left"/>
      </w:pPr>
      <w:r>
        <w:rPr>
          <w:rFonts w:ascii="Times New Roman" w:hAnsi="Times New Roman" w:eastAsia="Times New Roman"/>
          <w:b w:val="0"/>
          <w:i w:val="0"/>
          <w:color w:val="20252B"/>
          <w:sz w:val="20"/>
        </w:rPr>
        <w:t>14.4. Shell vibrations and resonances</w:t>
      </w:r>
    </w:p>
    <w:p>
      <w:pPr>
        <w:pageBreakBefore w:val="0"/>
        <w:spacing w:after="80" w:line="269" w:lineRule="auto"/>
        <w:ind w:firstLine="397"/>
        <w:jc w:val="both"/>
      </w:pPr>
      <w:r>
        <w:rPr>
          <w:rFonts w:ascii="Times New Roman" w:hAnsi="Times New Roman" w:eastAsia="Times New Roman"/>
          <w:b w:val="0"/>
          <w:i w:val="0"/>
          <w:color w:val="20252B"/>
          <w:sz w:val="20"/>
        </w:rPr>
        <w:t>The fear of resonance of the rotating shell was verified by calculating the natural frequencies of the ring modes of a cylinder with a radius of 5,000 m and a wall thickness of 850 mm. For the second mode, the frequency is 2.1·10⁻⁵ Hz, for the fifth - 1.9·10⁻⁴ Hz. The rotation frequency is 7.05·10⁻³ Hz, that is, 37 times higher than the highest of the considered modes.</w:t>
      </w:r>
    </w:p>
    <w:p>
      <w:pPr>
        <w:pageBreakBefore w:val="0"/>
        <w:spacing w:after="80" w:line="269" w:lineRule="auto"/>
        <w:ind w:firstLine="397"/>
        <w:jc w:val="both"/>
      </w:pPr>
      <w:r>
        <w:rPr>
          <w:rFonts w:ascii="Times New Roman" w:hAnsi="Times New Roman" w:eastAsia="Times New Roman"/>
          <w:b w:val="0"/>
          <w:i w:val="0"/>
          <w:color w:val="20252B"/>
          <w:sz w:val="20"/>
        </w:rPr>
        <w:t>Resonance is thus excluded: the driving frequency lies much higher than the spectrum of natural vibrations of the shell, and the structure for rotation behaves as absolutely rigid. The source of vibration remains not the shell, but the imbalance (clause 11.7) and the operation of the mechanisms; both are counteracted by balancing tanks and conventional vibration insulation.</w:t>
      </w:r>
    </w:p>
    <w:p>
      <w:pPr>
        <w:pStyle w:val="Heading2"/>
        <w:keepNext/>
        <w:pageBreakBefore w:val="0"/>
        <w:spacing w:after="40"/>
        <w:jc w:val="left"/>
      </w:pPr>
      <w:r>
        <w:rPr>
          <w:rFonts w:ascii="Times New Roman" w:hAnsi="Times New Roman" w:eastAsia="Times New Roman"/>
          <w:b w:val="0"/>
          <w:i w:val="0"/>
          <w:color w:val="20252B"/>
          <w:sz w:val="20"/>
        </w:rPr>
        <w:t>14.5. Construction order</w:t>
      </w:r>
    </w:p>
    <w:p>
      <w:pPr>
        <w:pageBreakBefore w:val="0"/>
        <w:spacing w:after="80" w:line="269" w:lineRule="auto"/>
        <w:ind w:firstLine="397"/>
        <w:jc w:val="both"/>
      </w:pPr>
      <w:r>
        <w:rPr>
          <w:rFonts w:ascii="Times New Roman" w:hAnsi="Times New Roman" w:eastAsia="Times New Roman"/>
          <w:b w:val="0"/>
          <w:i w:val="0"/>
          <w:color w:val="20252B"/>
          <w:sz w:val="20"/>
        </w:rPr>
        <w:t>The order of work is determined by the fact that the cylinder cannot be partially inhabited: the habitable volume is sealed and indivisible. The sequence of work is as follows.</w:t>
      </w:r>
    </w:p>
    <w:p>
      <w:pPr>
        <w:pageBreakBefore w:val="0"/>
        <w:spacing w:after="80" w:line="269" w:lineRule="auto"/>
        <w:ind w:firstLine="397"/>
        <w:jc w:val="both"/>
      </w:pPr>
      <w:r>
        <w:rPr>
          <w:rFonts w:ascii="Times New Roman" w:hAnsi="Times New Roman" w:eastAsia="Times New Roman"/>
          <w:b w:val="0"/>
          <w:i w:val="0"/>
          <w:color w:val="20252B"/>
          <w:sz w:val="20"/>
        </w:rPr>
        <w:t>Stage 1 - deployment of a mining complex at (6178) 1986 DA and a transport line to point L1. Stage 2 - assembly of the power set of the first cylinder: frames, then stringers (sheet 7, node I). Stage 3 - hanging the sheathing panels from the middle to the ends with control of the seams (sheet 7, node II). Stage 4 - end domes and bearing units. Stage 5 - containment, insulation, radiation protection. Stage 6 - spin up to 0.423 rpm, pressurize with atmosphere, lay the soil and fill the reservoirs. Stage 7 - axial beams, utilities, transport (Chapter 12). Stage 8 - settlement through a quarantine circuit, 10 years (clause 9.2). The second cylinder is built according to the same scheme in parallel with a lag, the connection is only along the axes through the truss frame.</w:t>
      </w:r>
    </w:p>
    <w:p>
      <w:pPr>
        <w:pageBreakBefore w:val="0"/>
        <w:spacing w:after="80" w:line="269" w:lineRule="auto"/>
        <w:ind w:firstLine="397"/>
        <w:jc w:val="both"/>
      </w:pPr>
      <w:r>
        <w:rPr>
          <w:rFonts w:ascii="Times New Roman" w:hAnsi="Times New Roman" w:eastAsia="Times New Roman"/>
          <w:b w:val="0"/>
          <w:i w:val="0"/>
          <w:color w:val="20252B"/>
          <w:sz w:val="20"/>
        </w:rPr>
        <w:t>Key order constraint: spin-up is done before boost, not after. Rotation of an empty shell is safe, while spinning up a volume with laid soil and filled with water would require holding loose masses under increasing centrifugal force.</w:t>
      </w:r>
    </w:p>
    <w:p>
      <w:pPr>
        <w:pStyle w:val="Heading2"/>
        <w:keepNext/>
        <w:pageBreakBefore w:val="0"/>
        <w:spacing w:after="40"/>
        <w:jc w:val="left"/>
      </w:pPr>
      <w:r>
        <w:rPr>
          <w:rFonts w:ascii="Times New Roman" w:hAnsi="Times New Roman" w:eastAsia="Times New Roman"/>
          <w:b w:val="0"/>
          <w:i w:val="0"/>
          <w:color w:val="20252B"/>
          <w:sz w:val="20"/>
        </w:rPr>
        <w:t>14.6. Medical support</w:t>
      </w:r>
    </w:p>
    <w:p>
      <w:pPr>
        <w:pageBreakBefore w:val="0"/>
        <w:spacing w:after="80" w:line="269" w:lineRule="auto"/>
        <w:ind w:firstLine="397"/>
        <w:jc w:val="both"/>
      </w:pPr>
      <w:r>
        <w:rPr>
          <w:rFonts w:ascii="Times New Roman" w:hAnsi="Times New Roman" w:eastAsia="Times New Roman"/>
          <w:b w:val="0"/>
          <w:i w:val="0"/>
          <w:color w:val="20252B"/>
          <w:sz w:val="20"/>
        </w:rPr>
        <w:t>With a population of 1,000,000 people and earthly standards, about 4,000 doctors and 40 hospital beds are required per 10,000 inhabitants, that is, 4,000 beds. There are two differences from earthly medicine. First: the station does not have an external reserve - evacuation to Earth takes weeks, so the medical service must be complete, including specialties that in a city of comparable size are usually transferred to regional centers. Second: the quarantine circuit (Chapter 9) removes from medicine most of the infectious load characteristic of earthly cities.</w:t>
      </w:r>
    </w:p>
    <w:p>
      <w:pPr>
        <w:pageBreakBefore w:val="0"/>
        <w:spacing w:after="80" w:line="269" w:lineRule="auto"/>
        <w:ind w:firstLine="397"/>
        <w:jc w:val="both"/>
      </w:pPr>
      <w:r>
        <w:rPr>
          <w:rFonts w:ascii="Times New Roman" w:hAnsi="Times New Roman" w:eastAsia="Times New Roman"/>
          <w:b w:val="0"/>
          <w:i w:val="0"/>
          <w:color w:val="20252B"/>
          <w:sz w:val="20"/>
        </w:rPr>
        <w:t>Features generated by the station itself: reduced severity in the axial zones (medical contraindications for working in them), Coriolis effects during rapid movement in a circle (section 12.2), as well as the psychological consequences of isolation and the inability to go outside. The psychological consequences have not yet been calculated and are recognized as a separate open issue.</w:t>
      </w:r>
    </w:p>
    <w:p>
      <w:pPr>
        <w:pStyle w:val="Heading2"/>
        <w:keepNext/>
        <w:pageBreakBefore w:val="0"/>
        <w:spacing w:after="40"/>
        <w:jc w:val="left"/>
      </w:pPr>
      <w:r>
        <w:rPr>
          <w:rFonts w:ascii="Times New Roman" w:hAnsi="Times New Roman" w:eastAsia="Times New Roman"/>
          <w:b w:val="0"/>
          <w:i w:val="0"/>
          <w:color w:val="20252B"/>
          <w:sz w:val="20"/>
        </w:rPr>
        <w:t>14.7. Redundancy of Carbon Cycle Closing Plants</w:t>
      </w:r>
    </w:p>
    <w:p>
      <w:pPr>
        <w:pageBreakBefore w:val="0"/>
        <w:spacing w:after="80" w:line="269" w:lineRule="auto"/>
        <w:ind w:firstLine="397"/>
        <w:jc w:val="both"/>
      </w:pPr>
      <w:r>
        <w:rPr>
          <w:rFonts w:ascii="Times New Roman" w:hAnsi="Times New Roman" w:eastAsia="Times New Roman"/>
          <w:b w:val="0"/>
          <w:i w:val="0"/>
          <w:color w:val="20252B"/>
          <w:sz w:val="20"/>
        </w:rPr>
        <w:t>Installations for processing plant residues account for 73% of the technical turnover of carbon and belong to systems of the first category along with energy; their redundancy is subject to separate design.</w:t>
      </w:r>
    </w:p>
    <w:p>
      <w:pPr>
        <w:pageBreakBefore w:val="0"/>
        <w:spacing w:after="80" w:line="269" w:lineRule="auto"/>
        <w:ind w:firstLine="397"/>
        <w:jc w:val="both"/>
      </w:pPr>
      <w:r>
        <w:rPr>
          <w:rFonts w:ascii="Times New Roman" w:hAnsi="Times New Roman" w:eastAsia="Times New Roman"/>
          <w:b w:val="0"/>
          <w:i w:val="0"/>
          <w:color w:val="20252B"/>
          <w:sz w:val="20"/>
        </w:rPr>
        <w:t>Required performance. The technical return of 17.8 million tons of carbon dioxide per year corresponds to 4.85 million tons of carbon, which, with a carbon content in dry matter of 45%, gives 10.79 million tons of dry organic matter per year, that is, 29.5 thousand tons per day. These are straw, roots, tops, wood litter and the inedible part of the crop.</w:t>
      </w:r>
    </w:p>
    <w:p>
      <w:pPr>
        <w:pageBreakBefore w:val="0"/>
        <w:spacing w:after="80" w:line="269" w:lineRule="auto"/>
        <w:ind w:firstLine="397"/>
        <w:jc w:val="both"/>
      </w:pPr>
      <w:r>
        <w:rPr>
          <w:rFonts w:ascii="Times New Roman" w:hAnsi="Times New Roman" w:eastAsia="Times New Roman"/>
          <w:b w:val="0"/>
          <w:i w:val="0"/>
          <w:color w:val="20252B"/>
          <w:sz w:val="20"/>
        </w:rPr>
        <w:t>Time reserve at a complete stop. If processing stops entirely, atmospheric carbon dioxide will begin to be consumed by photosynthesis without replacement at a rate of 17.8 million tons per year. Of the available 4.57 million tons, the part consumed is the part before the concentration drops to 150 ppm, below which photosynthesis is inhibited, that is, 2.86 million tons. Hence, the time before photosynthesis stops is 58 days.</w:t>
      </w:r>
    </w:p>
    <w:p>
      <w:pPr>
        <w:pageBreakBefore w:val="0"/>
        <w:spacing w:after="80" w:line="269" w:lineRule="auto"/>
        <w:ind w:firstLine="397"/>
        <w:jc w:val="both"/>
      </w:pPr>
      <w:r>
        <w:rPr>
          <w:rFonts w:ascii="Times New Roman" w:hAnsi="Times New Roman" w:eastAsia="Times New Roman"/>
          <w:b w:val="0"/>
          <w:i w:val="0"/>
          <w:color w:val="20252B"/>
          <w:sz w:val="20"/>
        </w:rPr>
        <w:t>The value must be interpreted correctly. 58 days is not a little: for comparison, depressurization by a 10 m hole gives 23 days (clause 14.1), and failure of lighting destroys crops in 2–3 weeks (clause 14.2). Cycle closure installations are classified in the first category not by the speed of onset of consequences, but by their irreversibility: other failures are recoverable, opening the carbon cycle means the gradual death of the biosphere.</w:t>
      </w:r>
    </w:p>
    <w:p>
      <w:pPr>
        <w:pageBreakBefore w:val="0"/>
        <w:spacing w:after="80" w:line="269" w:lineRule="auto"/>
        <w:ind w:firstLine="397"/>
        <w:jc w:val="both"/>
      </w:pPr>
      <w:r>
        <w:rPr>
          <w:rFonts w:ascii="Times New Roman" w:hAnsi="Times New Roman" w:eastAsia="Times New Roman"/>
          <w:b w:val="0"/>
          <w:i w:val="0"/>
          <w:color w:val="20252B"/>
          <w:sz w:val="20"/>
        </w:rPr>
        <w:t>Accepted redundancy scheme. The installations are located at each of the twelve settlements, one site at a time. The reserve was accepted according to the N+2 scheme: there are twelve working sites, fourteen in total, an excess of 17%. If one site fails, the remaining thirteen carry 2,272 tons per day, that is, 92% of the nominal value, which is within the normal operating range and does not require restrictions. The reserve is hot, that is, the reserve sites are constantly in operation at partial load, and not in cold anticipation: starting up the digester takes weeks for the microflora to reach normal operating conditions.</w:t>
      </w:r>
    </w:p>
    <w:p>
      <w:pPr>
        <w:pageBreakBefore w:val="0"/>
        <w:spacing w:after="80" w:line="269" w:lineRule="auto"/>
        <w:ind w:firstLine="397"/>
        <w:jc w:val="both"/>
      </w:pPr>
      <w:r>
        <w:rPr>
          <w:rFonts w:ascii="Times New Roman" w:hAnsi="Times New Roman" w:eastAsia="Times New Roman"/>
          <w:b w:val="0"/>
          <w:i w:val="0"/>
          <w:color w:val="20252B"/>
          <w:sz w:val="20"/>
        </w:rPr>
        <w:t>Crushing into modules. The required volume of reactors with a residence time of 20 days and a loading of 8% dry matter is 7.38 million m³. There are 527 thousand m³ per site, which in a single apparatus would mean a cylinder with a diameter of 164 m - an unrealistic value. Therefore, the site is divided into 20 modules of 26 thousand m³, each with a diameter of 37 m and a height of 25 m, which corresponds to the upper limit of terrestrial digesters. There are a total of 280 devices at the station. Fragmentation is an additional level of redundancy: failure of a single module takes away 0.36% of productivity.</w:t>
      </w:r>
    </w:p>
    <w:p>
      <w:pPr>
        <w:pageBreakBefore w:val="0"/>
        <w:spacing w:after="80" w:line="269" w:lineRule="auto"/>
        <w:ind w:firstLine="397"/>
        <w:jc w:val="both"/>
      </w:pPr>
      <w:r>
        <w:rPr>
          <w:rFonts w:ascii="Times New Roman" w:hAnsi="Times New Roman" w:eastAsia="Times New Roman"/>
          <w:b w:val="0"/>
          <w:i w:val="0"/>
          <w:color w:val="20252B"/>
          <w:sz w:val="20"/>
        </w:rPr>
        <w:t>Energy of the process. Digestion costs at 0.5 GJ per ton of dry matter are 0.17 GW, that is, 0.02% of the plant's capacity. The biogas yield at 350 m³ per ton and a calorific value of 22 MJ/m³ corresponds to 2.6 GW. The process is energy positive: loop closure installations release more energy than they consume, and do not need a separate line in the energy balance (clause 7.1).</w:t>
      </w:r>
    </w:p>
    <w:p>
      <w:pPr>
        <w:pageBreakBefore w:val="0"/>
        <w:spacing w:after="80" w:line="269" w:lineRule="auto"/>
        <w:ind w:firstLine="397"/>
        <w:jc w:val="both"/>
      </w:pPr>
      <w:r>
        <w:rPr>
          <w:rFonts w:ascii="Times New Roman" w:hAnsi="Times New Roman" w:eastAsia="Times New Roman"/>
          <w:b w:val="0"/>
          <w:i w:val="0"/>
          <w:color w:val="20252B"/>
          <w:sz w:val="20"/>
        </w:rPr>
        <w:t>Buffer accumulation. When idle, unprocessed raw materials accumulate at a rate of 29.5 thousand tons per day; for a full 58 days this is 1.71 million tons, with a bulk density of 0.3 t/m³ - 5.71 million m³, which corresponds to a site of 1.14 km² with a pile height of 5 m. Such a site is provided for each settlement and in normal times serves as a warehouse for bedding material. The presence of a buffer means that stopping processing does not entail loss of substance: the cycle closes with a delay, but does not break.</w:t>
      </w:r>
    </w:p>
    <w:p>
      <w:pPr>
        <w:pageBreakBefore w:val="0"/>
        <w:spacing w:after="80" w:line="269" w:lineRule="auto"/>
        <w:ind w:firstLine="397"/>
        <w:jc w:val="both"/>
      </w:pPr>
      <w:r>
        <w:rPr>
          <w:rFonts w:ascii="Times New Roman" w:hAnsi="Times New Roman" w:eastAsia="Times New Roman"/>
          <w:b w:val="0"/>
          <w:i w:val="0"/>
          <w:color w:val="20252B"/>
          <w:sz w:val="20"/>
        </w:rPr>
        <w:t>Requirements for use. The concentration of carbon dioxide in the station's atmosphere is subject to continuous measurement and is a control indicator of the state of the biosphere: its steady decline indicates a lag in processing before it affects crop yields. The warning set point is 350 ppm, the emergency set point is 250 ppm.</w:t>
      </w:r>
    </w:p>
    <w:p/>
    <w:p>
      <w:pPr>
        <w:spacing w:before="200"/>
        <w:jc w:val="center"/>
      </w:pPr>
      <w:r>
        <w:rPr>
          <w:b/>
          <w:color w:val="2E5496"/>
          <w:sz w:val="17"/>
        </w:rPr>
        <w:t>СПИСОК ЛИТЕРАТУРЫ РАЗДЕЛА / REFERENCES OF THIS SECTION</w:t>
      </w:r>
    </w:p>
    <w:p>
      <w:pPr>
        <w:ind w:left="340" w:hanging="340"/>
      </w:pPr>
      <w:r>
        <w:rPr>
          <w:sz w:val="18"/>
        </w:rPr>
        <w:t>1. Скорость атмосферной коррозии стали: около 0,01 мм/год без покрытия и 0,001 мм/год с лакокрасочным покрытием при мягком умеренном климате. [Использованы в п. 14.3 и разделе 30.]</w:t>
      </w:r>
    </w:p>
    <w:p>
      <w:pPr>
        <w:ind w:left="340" w:hanging="340"/>
      </w:pPr>
      <w:r>
        <w:rPr>
          <w:sz w:val="18"/>
        </w:rPr>
        <w:t>1. Atmospheric corrosion rate of steel: about 0.01 mm/yr without coating and 0.001 mm/yr with paint coating in a mild temperate climate. [Used in item 14.3 and section 30.]</w:t>
      </w:r>
    </w:p>
    <w:p>
      <w:r>
        <w:rPr>
          <w:b/>
          <w:sz w:val="18"/>
        </w:rPr>
        <w:t>Кроме того, раздел опирается на собственные допущения публикации:</w:t>
      </w:r>
    </w:p>
    <w:p>
      <w:pPr>
        <w:ind w:left="340" w:hanging="340"/>
      </w:pPr>
      <w:r>
        <w:rPr>
          <w:sz w:val="18"/>
        </w:rPr>
        <w:t>· Несущая оболочка: напряжения и массовые оценки являются предварительными оценками первого уровня.</w:t>
      </w:r>
    </w:p>
    <w:p>
      <w:pPr>
        <w:ind w:left="340" w:hanging="340"/>
      </w:pPr>
      <w:r>
        <w:rPr>
          <w:sz w:val="18"/>
        </w:rPr>
        <w:t>· Load-bearing shell: stresses and mass estimates are first-level preliminary estimates.</w:t>
      </w:r>
    </w:p>
    <w:p>
      <w:pPr>
        <w:ind w:left="340" w:hanging="340"/>
      </w:pPr>
      <w:r>
        <w:rPr>
          <w:sz w:val="18"/>
        </w:rPr>
        <w:t>· Энергия и тепло: электрический, тепловой и радиаторный балансы являются стационарными оценками.</w:t>
      </w:r>
    </w:p>
    <w:p>
      <w:pPr>
        <w:ind w:left="340" w:hanging="340"/>
      </w:pPr>
      <w:r>
        <w:rPr>
          <w:sz w:val="18"/>
        </w:rPr>
        <w:t>· Energy and heat: electrical, thermal and radiator balances are steady-state estimates.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