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18"/>
        </w:rPr>
        <w:t>ММОСО'Н — модуль моделирования орбитальной станции О'Нилла</w:t>
      </w:r>
    </w:p>
    <w:p>
      <w:pPr>
        <w:jc w:val="center"/>
      </w:pPr>
      <w:r>
        <w:rPr>
          <w:i/>
          <w:sz w:val="18"/>
        </w:rPr>
        <w:t>Раздел 16 / Section 16</w:t>
      </w:r>
    </w:p>
    <w:p>
      <w:pPr>
        <w:jc w:val="center"/>
      </w:pPr>
      <w:r>
        <w:rPr>
          <w:b/>
          <w:color w:val="1F3864"/>
          <w:sz w:val="26"/>
        </w:rPr>
        <w:t>16. КИСЛОРОДНЫЙ БАЛАНС ВО ВРЕМЕНИ: УРОК «БИОСФЕРЫ-2»</w:t>
      </w:r>
    </w:p>
    <w:p>
      <w:pPr>
        <w:jc w:val="center"/>
      </w:pPr>
      <w:r>
        <w:rPr>
          <w:b/>
          <w:color w:val="1F3864"/>
          <w:sz w:val="26"/>
        </w:rPr>
        <w:t>16. OXYGEN BALANCE IN TIME: LESSON “BIOSPHERE-2”</w:t>
      </w:r>
    </w:p>
    <w:p>
      <w:pPr>
        <w:jc w:val="center"/>
      </w:pPr>
      <w:r>
        <w:rPr>
          <w:i/>
          <w:sz w:val="17"/>
        </w:rPr>
        <w:t>Редакция 8 · 31 октября 2026 г.  ·  документ 18 из 43</w:t>
      </w:r>
    </w:p>
    <w:p>
      <w:pPr>
        <w:jc w:val="center"/>
      </w:pPr>
      <w:r>
        <w:rPr>
          <w:color w:val="808080"/>
          <w:sz w:val="16"/>
        </w:rPr>
        <w:t>——————————————————————————————————</w:t>
      </w:r>
    </w:p>
    <w:p>
      <w:pPr>
        <w:spacing w:before="200"/>
        <w:jc w:val="center"/>
      </w:pPr>
      <w:r>
        <w:rPr>
          <w:b/>
          <w:color w:val="2E5496"/>
          <w:sz w:val="17"/>
        </w:rPr>
        <w:t>РУССКАЯ РЕДАКЦИЯ / РУССКИЙ ТЕКСТ</w:t>
      </w:r>
    </w:p>
    <w:p>
      <w:pPr>
        <w:pStyle w:val="Heading1"/>
        <w:keepNext/>
        <w:pageBreakBefore w:val="0"/>
        <w:spacing w:after="40"/>
        <w:jc w:val="left"/>
      </w:pPr>
      <w:r>
        <w:rPr>
          <w:rFonts w:ascii="Times New Roman" w:hAnsi="Times New Roman" w:eastAsia="Times New Roman"/>
          <w:b/>
          <w:i w:val="0"/>
          <w:color w:val="1F3A5F"/>
          <w:sz w:val="30"/>
        </w:rPr>
        <w:t>16. КИСЛОРОДНЫЙ БАЛАНС ВО ВРЕМЕНИ: УРОК «БИОСФЕРЫ-2»</w:t>
      </w:r>
    </w:p>
    <w:p>
      <w:pPr>
        <w:pageBreakBefore w:val="0"/>
        <w:spacing w:after="80" w:line="269" w:lineRule="auto"/>
        <w:ind w:firstLine="397"/>
        <w:jc w:val="both"/>
      </w:pPr>
      <w:r>
        <w:rPr>
          <w:rFonts w:ascii="Times New Roman" w:hAnsi="Times New Roman" w:eastAsia="Times New Roman"/>
          <w:b w:val="0"/>
          <w:i w:val="0"/>
          <w:color w:val="20252B"/>
          <w:sz w:val="20"/>
        </w:rPr>
        <w:t>Настоящая глава рассматривает поглощение кислорода конструкциями и почвой — фактор, важный для длительного замкнутого биологического цикла и требующий отдельного эксплуатационного контроля.</w:t>
      </w:r>
    </w:p>
    <w:p>
      <w:pPr>
        <w:pStyle w:val="Heading2"/>
        <w:keepNext/>
        <w:pageBreakBefore w:val="0"/>
        <w:spacing w:after="40"/>
        <w:jc w:val="left"/>
      </w:pPr>
      <w:r>
        <w:rPr>
          <w:rFonts w:ascii="Times New Roman" w:hAnsi="Times New Roman" w:eastAsia="Times New Roman"/>
          <w:b/>
          <w:i w:val="0"/>
          <w:color w:val="2F5D83"/>
          <w:sz w:val="25"/>
        </w:rPr>
        <w:t>16.1. Что произошло в «Биосфере-2»</w:t>
      </w:r>
    </w:p>
    <w:p>
      <w:pPr>
        <w:pageBreakBefore w:val="0"/>
        <w:spacing w:after="80" w:line="269" w:lineRule="auto"/>
        <w:ind w:firstLine="397"/>
        <w:jc w:val="both"/>
      </w:pPr>
      <w:r>
        <w:rPr>
          <w:rFonts w:ascii="Times New Roman" w:hAnsi="Times New Roman" w:eastAsia="Times New Roman"/>
          <w:b w:val="0"/>
          <w:i w:val="0"/>
          <w:color w:val="20252B"/>
          <w:sz w:val="20"/>
        </w:rPr>
        <w:t>В эксперименте 1991–1993 годов содержание кислорода в замкнутом объёме упало с 20,9 до 14,2 % за шестнадцать месяцев, что потребовало аварийной подачи кислорода извне и признано главной технической неудачей эксперимента. Причин было две. Первая — дыхание микроорганизмов в почве, намеренно обогащённой органикой, потреблявшее кислород быстрее, чем растения его выделяли. Вторая, обнаруженная не сразу, — поглощение углекислого газа бетоном сооружения: карбонизация связывала углерод необратимо, и он выбывал из круговорота, из-за чего выделенный при фотосинтезе кислород не возвращался в атмосферу дыханием разлагающейся органики.</w:t>
      </w:r>
    </w:p>
    <w:p>
      <w:pPr>
        <w:pageBreakBefore w:val="0"/>
        <w:spacing w:after="80" w:line="269" w:lineRule="auto"/>
        <w:ind w:firstLine="397"/>
        <w:jc w:val="both"/>
      </w:pPr>
      <w:r>
        <w:rPr>
          <w:rFonts w:ascii="Times New Roman" w:hAnsi="Times New Roman" w:eastAsia="Times New Roman"/>
          <w:b w:val="0"/>
          <w:i w:val="0"/>
          <w:color w:val="20252B"/>
          <w:sz w:val="20"/>
        </w:rPr>
        <w:t>Существенно, что оба процесса были малыми по мгновенной величине и незаметными на фоне суточных колебаний. Погубила эксперимент не скорость, а систематичность: небольшой односторонний сток, действуя непрерывно, за год с небольшим вывел систему за пределы пригодности.</w:t>
      </w:r>
    </w:p>
    <w:p>
      <w:pPr>
        <w:pStyle w:val="Heading2"/>
        <w:keepNext/>
        <w:pageBreakBefore w:val="0"/>
        <w:spacing w:after="40"/>
        <w:jc w:val="left"/>
      </w:pPr>
      <w:r>
        <w:rPr>
          <w:rFonts w:ascii="Times New Roman" w:hAnsi="Times New Roman" w:eastAsia="Times New Roman"/>
          <w:b/>
          <w:i w:val="0"/>
          <w:color w:val="2F5D83"/>
          <w:sz w:val="25"/>
        </w:rPr>
        <w:t>16.2. Применимость к станции: карбонизация исключена</w:t>
      </w:r>
    </w:p>
    <w:p>
      <w:pPr>
        <w:pageBreakBefore w:val="0"/>
        <w:spacing w:after="80" w:line="269" w:lineRule="auto"/>
        <w:ind w:firstLine="397"/>
        <w:jc w:val="both"/>
      </w:pPr>
      <w:r>
        <w:rPr>
          <w:rFonts w:ascii="Times New Roman" w:hAnsi="Times New Roman" w:eastAsia="Times New Roman"/>
          <w:b w:val="0"/>
          <w:i w:val="0"/>
          <w:color w:val="20252B"/>
          <w:sz w:val="20"/>
        </w:rPr>
        <w:t>Причина, связанная с карбонизацией бетона, на станции отсутствует. Несущие и ограждающие конструкции выполняются из стали (гл. 4, гл. 10), бетон в проекте не применяется, следовательно, карбонизационного стока углерода нет. Это обстоятельство прямо следует из принятого материала.</w:t>
      </w:r>
    </w:p>
    <w:p>
      <w:pPr>
        <w:pageBreakBefore w:val="0"/>
        <w:spacing w:after="80" w:line="269" w:lineRule="auto"/>
        <w:ind w:firstLine="397"/>
        <w:jc w:val="both"/>
      </w:pPr>
      <w:r>
        <w:rPr>
          <w:rFonts w:ascii="Times New Roman" w:hAnsi="Times New Roman" w:eastAsia="Times New Roman"/>
          <w:b w:val="0"/>
          <w:i w:val="0"/>
          <w:color w:val="20252B"/>
          <w:sz w:val="20"/>
        </w:rPr>
        <w:t>Вторая причина — дисбаланс почвенного дыхания — рассмотрена в п. 15.1 и п. 14.7, где показано, что углеродный цикл замыкается с участием технической переработки и находится под непрерывным контролем по концентрации углекислого газа.</w:t>
      </w:r>
    </w:p>
    <w:p>
      <w:pPr>
        <w:pStyle w:val="Heading2"/>
        <w:keepNext/>
        <w:pageBreakBefore w:val="0"/>
        <w:spacing w:after="40"/>
        <w:jc w:val="left"/>
      </w:pPr>
      <w:r>
        <w:rPr>
          <w:rFonts w:ascii="Times New Roman" w:hAnsi="Times New Roman" w:eastAsia="Times New Roman"/>
          <w:b/>
          <w:i w:val="0"/>
          <w:color w:val="2F5D83"/>
          <w:sz w:val="25"/>
        </w:rPr>
        <w:t>16.3. Собственный аналог: окисление стали</w:t>
      </w:r>
    </w:p>
    <w:p>
      <w:pPr>
        <w:pageBreakBefore w:val="0"/>
        <w:spacing w:after="80" w:line="269" w:lineRule="auto"/>
        <w:ind w:firstLine="397"/>
        <w:jc w:val="both"/>
      </w:pPr>
      <w:r>
        <w:rPr>
          <w:rFonts w:ascii="Times New Roman" w:hAnsi="Times New Roman" w:eastAsia="Times New Roman"/>
          <w:b w:val="0"/>
          <w:i w:val="0"/>
          <w:color w:val="20252B"/>
          <w:sz w:val="20"/>
        </w:rPr>
        <w:t>Однако у стального исполнения есть собственный кислородный сток, которого не было в «Биосфере-2»: коррозия. Реакция окисления железа связывает кислород атмосферы необратимо, и в замкнутом объёме этот кислород не возобновляется.</w:t>
      </w:r>
    </w:p>
    <w:p>
      <w:pPr>
        <w:pageBreakBefore w:val="0"/>
        <w:spacing w:after="80" w:line="269" w:lineRule="auto"/>
        <w:ind w:firstLine="397"/>
        <w:jc w:val="both"/>
      </w:pPr>
      <w:r>
        <w:rPr>
          <w:rFonts w:ascii="Times New Roman" w:hAnsi="Times New Roman" w:eastAsia="Times New Roman"/>
          <w:b w:val="0"/>
          <w:i w:val="0"/>
          <w:color w:val="20252B"/>
          <w:sz w:val="20"/>
        </w:rPr>
        <w:t>Коррозионный сток рассчитывается для открытых внутренних металлических поверхностей. Наружная поверхность находится в вакууме, где кислорода нет, а большая часть внутренней площади изолирована грунтом, водоёмами и покрытиями. Расчётная доля открытого металла составляет 5 % полной площади двух цилиндров; соответствующий сценарий приведён в следующем абзаце.</w:t>
      </w:r>
    </w:p>
    <w:p>
      <w:pPr>
        <w:pageBreakBefore w:val="0"/>
        <w:spacing w:after="80" w:line="269" w:lineRule="auto"/>
        <w:ind w:firstLine="397"/>
        <w:jc w:val="both"/>
      </w:pPr>
      <w:r>
        <w:rPr>
          <w:rFonts w:ascii="Times New Roman" w:hAnsi="Times New Roman" w:eastAsia="Times New Roman"/>
          <w:b w:val="0"/>
          <w:i w:val="0"/>
          <w:color w:val="20252B"/>
          <w:sz w:val="20"/>
        </w:rPr>
        <w:t>Расчётной принимается доля открытого металла 5 % полной площади двух цилиндров, то есть 155,0 км²: технические помещения, опорные конструкции, трубопроводы, оборудование. При скорости коррозии 0,01 мм в год окисляется 12,17 млн т стали, связывающих 5,23 млн т кислорода в год — 0,331 % запаса ежегодно.</w:t>
      </w:r>
    </w:p>
    <w:p>
      <w:pPr>
        <w:pStyle w:val="Heading2"/>
        <w:keepNext/>
        <w:pageBreakBefore w:val="0"/>
        <w:spacing w:after="40"/>
        <w:jc w:val="left"/>
      </w:pPr>
      <w:r>
        <w:rPr>
          <w:rFonts w:ascii="Times New Roman" w:hAnsi="Times New Roman" w:eastAsia="Times New Roman"/>
          <w:b/>
          <w:i w:val="0"/>
          <w:color w:val="2F5D83"/>
          <w:sz w:val="25"/>
        </w:rPr>
        <w:t>16.4. Результат: величина значима</w:t>
      </w:r>
    </w:p>
    <w:p>
      <w:pPr>
        <w:pageBreakBefore w:val="0"/>
        <w:spacing w:after="80" w:line="269" w:lineRule="auto"/>
        <w:ind w:firstLine="397"/>
        <w:jc w:val="both"/>
      </w:pPr>
      <w:r>
        <w:rPr>
          <w:rFonts w:ascii="Times New Roman" w:hAnsi="Times New Roman" w:eastAsia="Times New Roman"/>
          <w:b w:val="0"/>
          <w:i w:val="0"/>
          <w:color w:val="20252B"/>
          <w:sz w:val="20"/>
        </w:rPr>
        <w:t>Запас кислорода в атмосфере станции составляет 1,58 млрд т. При стоке 5,23 млн т в год за назначенный срок службы 200 лет связывается 66,1 % запаса. В пересчёте на объёмную долю это падение с 21 до 7,1 %. Сценарий показывает, что открытые поверхности должны иметь покрытия и катодную защиту; оставлять 5 % металла при 0,01 мм/год нельзя считать штатным режимом.</w:t>
      </w:r>
    </w:p>
    <w:p>
      <w:pPr>
        <w:pageBreakBefore w:val="0"/>
        <w:spacing w:after="80" w:line="269" w:lineRule="auto"/>
        <w:ind w:firstLine="397"/>
        <w:jc w:val="both"/>
      </w:pPr>
      <w:r>
        <w:rPr>
          <w:rFonts w:ascii="Times New Roman" w:hAnsi="Times New Roman" w:eastAsia="Times New Roman"/>
          <w:b w:val="0"/>
          <w:i w:val="0"/>
          <w:color w:val="20252B"/>
          <w:sz w:val="20"/>
        </w:rPr>
        <w:t>Порог принимается по санитарным нормам: гипоксические явления начинаются ниже 19,5 % объёмной доли, что отвечает убыли 7,1 % запаса, или 113 млн т. Без компенсации этот предел достигается примерно за 21,6 года — то есть в пределах жизни первого поколения жителей.</w:t>
      </w:r>
    </w:p>
    <w:p>
      <w:pPr>
        <w:pageBreakBefore w:val="0"/>
        <w:spacing w:after="80" w:line="269" w:lineRule="auto"/>
        <w:ind w:firstLine="397"/>
        <w:jc w:val="both"/>
      </w:pPr>
      <w:r>
        <w:rPr>
          <w:rFonts w:ascii="Times New Roman" w:hAnsi="Times New Roman" w:eastAsia="Times New Roman"/>
          <w:b w:val="0"/>
          <w:i w:val="0"/>
          <w:color w:val="20252B"/>
          <w:sz w:val="20"/>
        </w:rPr>
        <w:t>Оценка чувствительна к принятой доле открытого металла, и это следует указать прямо: при 2 % убыль за 200 лет составит около 26,5 % запаса, при 5 % — 66,1 %, при 10 % запас исчерпался бы примерно за 151 год, при 20 % — примерно за 76 лет. Точное значение определяется компоновкой помещений, которая на настоящей стадии не разработана, поэтому расчёт даёт порядок величины и обязательное требование к защите поверхностей.</w:t>
      </w:r>
    </w:p>
    <w:p>
      <w:pPr>
        <w:pStyle w:val="Heading2"/>
        <w:keepNext/>
        <w:pageBreakBefore w:val="0"/>
        <w:spacing w:after="40"/>
        <w:jc w:val="left"/>
      </w:pPr>
      <w:r>
        <w:rPr>
          <w:rFonts w:ascii="Times New Roman" w:hAnsi="Times New Roman" w:eastAsia="Times New Roman"/>
          <w:b/>
          <w:i w:val="0"/>
          <w:color w:val="2F5D83"/>
          <w:sz w:val="25"/>
        </w:rPr>
        <w:t>16.5. Компенсация</w:t>
      </w:r>
    </w:p>
    <w:p>
      <w:pPr>
        <w:pageBreakBefore w:val="0"/>
        <w:spacing w:after="80" w:line="269" w:lineRule="auto"/>
        <w:ind w:firstLine="397"/>
        <w:jc w:val="both"/>
      </w:pPr>
      <w:r>
        <w:rPr>
          <w:rFonts w:ascii="Times New Roman" w:hAnsi="Times New Roman" w:eastAsia="Times New Roman"/>
          <w:b w:val="0"/>
          <w:i w:val="0"/>
          <w:color w:val="20252B"/>
          <w:sz w:val="20"/>
        </w:rPr>
        <w:t>Восполнение выполняется электролизом воды, уже входящим в состав систем жизнеобеспечения. Потребность: 5,23 млн т кислорода в год, для чего требуется 5,88 млн т воды в год при энергозатратах 2,63 ГВт, то есть 0,365 % мощности станции. Величина мала по сравнению с 721,4 ГВт, но должна быть явно зарезервирована в контуре жизнеобеспечения.</w:t>
      </w:r>
    </w:p>
    <w:p>
      <w:pPr>
        <w:pageBreakBefore w:val="0"/>
        <w:spacing w:after="80" w:line="269" w:lineRule="auto"/>
        <w:ind w:firstLine="397"/>
        <w:jc w:val="both"/>
      </w:pPr>
      <w:r>
        <w:rPr>
          <w:rFonts w:ascii="Times New Roman" w:hAnsi="Times New Roman" w:eastAsia="Times New Roman"/>
          <w:b w:val="0"/>
          <w:i w:val="0"/>
          <w:color w:val="20252B"/>
          <w:sz w:val="20"/>
        </w:rPr>
        <w:t>Водородный остаток электролиза, 0,65 млн т в год, не выбрасывается: он направляется на восстановление оксидов железа в металлургическом переделе, где возвращает как железо в оборот, так и связанный кислород. При полном возврате потребность в свежей воде снимается, и контур замыкается.</w:t>
      </w:r>
    </w:p>
    <w:p>
      <w:pPr>
        <w:pageBreakBefore w:val="0"/>
        <w:spacing w:after="80" w:line="269" w:lineRule="auto"/>
        <w:ind w:firstLine="397"/>
        <w:jc w:val="both"/>
      </w:pPr>
      <w:r>
        <w:rPr>
          <w:rFonts w:ascii="Times New Roman" w:hAnsi="Times New Roman" w:eastAsia="Times New Roman"/>
          <w:b w:val="0"/>
          <w:i w:val="0"/>
          <w:color w:val="20252B"/>
          <w:sz w:val="20"/>
        </w:rPr>
        <w:t>Предпочтительной, однако, является не компенсация, а предотвращение: защитные покрытия открытых стальных поверхностей, поддержание относительной влажности ниже 60 % в технических помещениях и катодная защита влажных зон. Снижение скорости коррозии на порядок, до 0,001 мм в год, переводит вопрос в разряд управляемого: срок исчерпания при принятой доле открытого металла возрастает примерно до 3 000 лет.</w:t>
      </w:r>
    </w:p>
    <w:p>
      <w:pPr>
        <w:pageBreakBefore w:val="0"/>
        <w:spacing w:after="80" w:line="269" w:lineRule="auto"/>
        <w:ind w:firstLine="397"/>
        <w:jc w:val="both"/>
      </w:pPr>
      <w:r>
        <w:rPr>
          <w:rFonts w:ascii="Times New Roman" w:hAnsi="Times New Roman" w:eastAsia="Times New Roman"/>
          <w:b w:val="0"/>
          <w:i w:val="0"/>
          <w:color w:val="20252B"/>
          <w:sz w:val="20"/>
        </w:rPr>
        <w:t>Требование к эксплуатации. Объёмная доля кислорода подлежит непрерывному измерению наравне с углекислым газом (п. 14.7). Устойчивое снижение, не объяснимое дыханием, есть признак коррозионного стока и требует ревизии покрытий. Уставка предупреждения — 20,5 %, аварийная — 19,5 %.</w:t>
      </w:r>
    </w:p>
    <w:p>
      <w:pPr>
        <w:pStyle w:val="Heading2"/>
        <w:keepNext/>
        <w:pageBreakBefore w:val="0"/>
        <w:spacing w:after="40"/>
        <w:jc w:val="left"/>
      </w:pPr>
      <w:r>
        <w:rPr>
          <w:rFonts w:ascii="Times New Roman" w:hAnsi="Times New Roman" w:eastAsia="Times New Roman"/>
          <w:b/>
          <w:i w:val="0"/>
          <w:color w:val="2F5D83"/>
          <w:sz w:val="25"/>
        </w:rPr>
        <w:t>16.6. Действующий перечень нерешённого</w:t>
      </w:r>
    </w:p>
    <w:p>
      <w:pPr>
        <w:pageBreakBefore w:val="0"/>
        <w:spacing w:after="80" w:line="269" w:lineRule="auto"/>
        <w:ind w:firstLine="397"/>
        <w:jc w:val="both"/>
      </w:pPr>
      <w:r>
        <w:rPr>
          <w:rFonts w:ascii="Times New Roman" w:hAnsi="Times New Roman" w:eastAsia="Times New Roman"/>
          <w:b w:val="0"/>
          <w:i w:val="0"/>
          <w:color w:val="20252B"/>
          <w:sz w:val="20"/>
        </w:rPr>
        <w:t>Действующий перечень нерешённых задач приведён ниже и включает динамику биосферы, усталость и коррозию конструкции, демографию, технологии добычи и другие вопросы, требующие экспериментов и независимой экспертизы.</w:t>
      </w:r>
    </w:p>
    <w:p>
      <w:pPr>
        <w:pageBreakBefore w:val="0"/>
        <w:spacing w:after="80" w:line="269" w:lineRule="auto"/>
        <w:ind w:firstLine="397"/>
        <w:jc w:val="both"/>
      </w:pPr>
      <w:r>
        <w:rPr>
          <w:rFonts w:ascii="Times New Roman" w:hAnsi="Times New Roman" w:eastAsia="Times New Roman"/>
          <w:b w:val="0"/>
          <w:i w:val="0"/>
          <w:color w:val="20252B"/>
          <w:sz w:val="20"/>
        </w:rPr>
        <w:t>Первое. Динамическая устойчивость биосферы. Все балансы документа стационарны: они показывают, что приход равен расходу, но не описывают колебаний, запаздываний и возможных срывов регуляции. Динамика замкнутой биосферы требует отдельного имитационного моделирования с запаздываниями; эта работа включена в обязательную программу дальнейших исследований.</w:t>
      </w:r>
    </w:p>
    <w:p>
      <w:pPr>
        <w:pageBreakBefore w:val="0"/>
        <w:spacing w:after="80" w:line="269" w:lineRule="auto"/>
        <w:ind w:firstLine="397"/>
        <w:jc w:val="both"/>
      </w:pPr>
      <w:r>
        <w:rPr>
          <w:rFonts w:ascii="Times New Roman" w:hAnsi="Times New Roman" w:eastAsia="Times New Roman"/>
          <w:b w:val="0"/>
          <w:i w:val="0"/>
          <w:color w:val="20252B"/>
          <w:sz w:val="20"/>
        </w:rPr>
        <w:t>Второе. Малоцикловая усталость стального пояса при постоянном напряжении 1 308 МПа на горизонте столетий. В п. 14.3 показан запас 27 крат по числу циклов, однако испытательных данных для мартенситностареющих сталей на таких сроках не существует.</w:t>
      </w:r>
    </w:p>
    <w:p>
      <w:pPr>
        <w:pageBreakBefore w:val="0"/>
        <w:spacing w:after="80" w:line="269" w:lineRule="auto"/>
        <w:ind w:firstLine="397"/>
        <w:jc w:val="both"/>
      </w:pPr>
      <w:r>
        <w:rPr>
          <w:rFonts w:ascii="Times New Roman" w:hAnsi="Times New Roman" w:eastAsia="Times New Roman"/>
          <w:b w:val="0"/>
          <w:i w:val="0"/>
          <w:color w:val="20252B"/>
          <w:sz w:val="20"/>
        </w:rPr>
        <w:t>Третье. Технология обогащения астероидного железо-никелевого сырья до состава 18Ni(300). Металлургический передел в невесомости не разработан ни здесь, ни в известных источниках.</w:t>
      </w:r>
    </w:p>
    <w:p>
      <w:pPr>
        <w:pageBreakBefore w:val="0"/>
        <w:spacing w:after="80" w:line="269" w:lineRule="auto"/>
        <w:ind w:firstLine="397"/>
        <w:jc w:val="both"/>
      </w:pPr>
      <w:r>
        <w:rPr>
          <w:rFonts w:ascii="Times New Roman" w:hAnsi="Times New Roman" w:eastAsia="Times New Roman"/>
          <w:b w:val="0"/>
          <w:i w:val="0"/>
          <w:color w:val="20252B"/>
          <w:sz w:val="20"/>
        </w:rPr>
        <w:t>Четвёртое. Генетическая устойчивость популяции на горизонте столетий. Демографический расчёт п. 11.4 оперирует численностью, но не генетическим разнообразием основателей.</w:t>
      </w:r>
    </w:p>
    <w:p>
      <w:pPr>
        <w:pageBreakBefore w:val="0"/>
        <w:spacing w:after="80" w:line="269" w:lineRule="auto"/>
        <w:ind w:firstLine="397"/>
        <w:jc w:val="both"/>
      </w:pPr>
      <w:r>
        <w:rPr>
          <w:rFonts w:ascii="Times New Roman" w:hAnsi="Times New Roman" w:eastAsia="Times New Roman"/>
          <w:b w:val="0"/>
          <w:i w:val="0"/>
          <w:color w:val="20252B"/>
          <w:sz w:val="20"/>
        </w:rPr>
        <w:t>Пятое. Детальная компоновка внутренних помещений и точная доля открытого металла жилого объёма остаются нерешёнными. Транспортный интерфейс, передние рамы, два коридора А/Б, четыре канала движения, полый осевой вал и последовательность гермокамер теперь заданы отдельной спецификацией `TRANSPORT_INTERFACE_SPEC_v1.md`, но это ещё не рабочая деталировка помещений.</w:t>
      </w:r>
    </w:p>
    <w:p>
      <w:pPr>
        <w:pageBreakBefore w:val="0"/>
        <w:spacing w:after="80" w:line="269" w:lineRule="auto"/>
        <w:ind w:firstLine="397"/>
      </w:pPr>
      <w:r>
        <w:rPr>
          <w:rFonts w:ascii="Times New Roman" w:hAnsi="Times New Roman" w:eastAsia="Times New Roman"/>
          <w:b w:val="0"/>
          <w:i w:val="0"/>
          <w:color w:val="20252B"/>
          <w:sz w:val="20"/>
        </w:rPr>
        <w:t>Седьмое. Социально-правовая система постоянного населения: правоохранительная служба, процедуры расследования и обжалования, трудовое и семейное право, социальное обеспечение, защита детей, медицинских и биометрических данных, а также пределы аварийных полномочий администрации (гл. 17).</w:t>
      </w:r>
    </w:p>
    <w:p>
      <w:pPr>
        <w:pageBreakBefore w:val="0"/>
        <w:spacing w:after="80" w:line="269" w:lineRule="auto"/>
        <w:ind w:firstLine="397"/>
      </w:pPr>
      <w:r>
        <w:rPr>
          <w:rFonts w:ascii="Times New Roman" w:hAnsi="Times New Roman" w:eastAsia="Times New Roman"/>
          <w:b w:val="0"/>
          <w:i w:val="0"/>
          <w:color w:val="20252B"/>
          <w:sz w:val="20"/>
        </w:rPr>
        <w:t>Восьмое. Ядерно-радиологический контур термоядерной энергетики: наработка и учёт трития, нейтронная активация, дозовые поля, обращение с радиоактивными отходами, лицензирование и вывод из эксплуатации (гл. 18). Если появится делящийся реактор, потребуется отдельная программа полного ядерного топливного цикла.</w:t>
      </w:r>
    </w:p>
    <w:p>
      <w:pPr>
        <w:pageBreakBefore w:val="0"/>
        <w:spacing w:after="80" w:line="269" w:lineRule="auto"/>
        <w:ind w:firstLine="397"/>
        <w:jc w:val="both"/>
      </w:pPr>
      <w:r>
        <w:rPr>
          <w:rFonts w:ascii="Times New Roman" w:hAnsi="Times New Roman" w:eastAsia="Times New Roman"/>
          <w:b w:val="0"/>
          <w:i w:val="0"/>
          <w:color w:val="20252B"/>
          <w:sz w:val="20"/>
        </w:rPr>
        <w:t>Шестое. Денежная стоимость и экономическая модель существования станции (п. 15.3), устойчивость почвенного сообщества при пониженной тяжести (п. 15.1) и отдалённые психологические последствия замкнутости (п. 15.2).</w:t>
      </w:r>
    </w:p>
    <w:p>
      <w:pPr>
        <w:pageBreakBefore w:val="0"/>
        <w:spacing w:after="80" w:line="269" w:lineRule="auto"/>
        <w:ind w:firstLine="397"/>
      </w:pPr>
      <w:r>
        <w:rPr>
          <w:rFonts w:ascii="Times New Roman" w:hAnsi="Times New Roman" w:eastAsia="Times New Roman"/>
          <w:b w:val="0"/>
          <w:i w:val="0"/>
          <w:color w:val="20252B"/>
          <w:sz w:val="20"/>
        </w:rPr>
        <w:t>Девятое. Дополнительные междисциплинарные задачи, собранные в гл. 19: дефицитные материалы и промышленная реализуемость, полномасштабная механика, динамика биосферы и следовые загрязнители, физиология человека, пожар и токсикология, переходные режимы энергетики и воды, транспорт и спасение, орбитальная навигация и связь, программная верификация, качество производства, человеческий фактор, финансирование и бюджет неопределённости.</w:t>
      </w:r>
    </w:p>
    <w:p>
      <w:pPr>
        <w:pageBreakBefore w:val="0"/>
        <w:spacing w:after="80" w:line="269" w:lineRule="auto"/>
        <w:ind w:firstLine="397"/>
        <w:jc w:val="both"/>
      </w:pPr>
      <w:r>
        <w:rPr>
          <w:rFonts w:ascii="Times New Roman" w:hAnsi="Times New Roman" w:eastAsia="Times New Roman"/>
          <w:b w:val="0"/>
          <w:i w:val="0"/>
          <w:color w:val="20252B"/>
          <w:sz w:val="20"/>
        </w:rPr>
        <w:t>Компоновочная база транспортного интерфейса, комбинированной передней рамы, причальных порталов, шести солнечных крыльев, трёхантенной схемы и координатной основы внутренней карты считается закрытой на уровне текстового проектного решения; описание находится в главах 4, 7, 12 и 13 настоящего документа. Следующие проверки остаются обязательными: динамика магнитного подшипника Ø400 м, посадка на механические ловители, МКЭ усиления устьев Ø30 м, ресурс сегментированных уплотнений, тепловое расширение перехода, прочность крыльев, продольная динамика полной кабины массой 15 т, тормозной путь и радиационная защита закрытой трассы. Отдельные текстовые спецификации по этим решениям не являются частью проекта и не создаются. Дополнительно обязательны: кибербезопасность критической автоматики, план космической погоды и радиационных событий, аварийный штаб и спасение, планетарная защита, программа сертификации и приёмки, матрица ответственности автора проекта, будущего оператора и внешнего перевозчика, а также консервация и завершение эксплуатации.</w:t>
      </w:r>
    </w:p>
    <w:p>
      <w:pPr>
        <w:spacing w:before="200"/>
        <w:jc w:val="center"/>
      </w:pPr>
      <w:r>
        <w:rPr>
          <w:b/>
          <w:color w:val="2E5496"/>
          <w:sz w:val="17"/>
        </w:rPr>
        <w:t>ENGLISH EDITION</w:t>
      </w:r>
    </w:p>
    <w:p>
      <w:pPr>
        <w:pStyle w:val="Heading1"/>
        <w:keepNext/>
        <w:pageBreakBefore w:val="0"/>
        <w:spacing w:after="40"/>
        <w:jc w:val="left"/>
      </w:pPr>
      <w:r>
        <w:rPr>
          <w:rFonts w:ascii="Times New Roman" w:hAnsi="Times New Roman" w:eastAsia="Times New Roman"/>
          <w:b w:val="0"/>
          <w:i w:val="0"/>
          <w:color w:val="20252B"/>
          <w:sz w:val="20"/>
        </w:rPr>
        <w:t>16. OXYGEN BALANCE IN TIME: LESSON “BIOSPHERE-2”</w:t>
      </w:r>
    </w:p>
    <w:p>
      <w:pPr>
        <w:pageBreakBefore w:val="0"/>
        <w:spacing w:after="80" w:line="269" w:lineRule="auto"/>
        <w:ind w:firstLine="397"/>
        <w:jc w:val="both"/>
      </w:pPr>
      <w:r>
        <w:rPr>
          <w:rFonts w:ascii="Times New Roman" w:hAnsi="Times New Roman" w:eastAsia="Times New Roman"/>
          <w:b w:val="0"/>
          <w:i w:val="0"/>
          <w:color w:val="20252B"/>
          <w:sz w:val="20"/>
        </w:rPr>
        <w:t>This chapter examines the absorption of oxygen by structures and soil, a factor that is important for a long-term closed biological cycle and requires separate operational control.</w:t>
      </w:r>
    </w:p>
    <w:p>
      <w:pPr>
        <w:pStyle w:val="Heading2"/>
        <w:keepNext/>
        <w:pageBreakBefore w:val="0"/>
        <w:spacing w:after="40"/>
        <w:jc w:val="left"/>
      </w:pPr>
      <w:r>
        <w:rPr>
          <w:rFonts w:ascii="Times New Roman" w:hAnsi="Times New Roman" w:eastAsia="Times New Roman"/>
          <w:b w:val="0"/>
          <w:i w:val="0"/>
          <w:color w:val="20252B"/>
          <w:sz w:val="20"/>
        </w:rPr>
        <w:t>16.1. What happened in "Biosphere-2"</w:t>
      </w:r>
    </w:p>
    <w:p>
      <w:pPr>
        <w:pageBreakBefore w:val="0"/>
        <w:spacing w:after="80" w:line="269" w:lineRule="auto"/>
        <w:ind w:firstLine="397"/>
        <w:jc w:val="both"/>
      </w:pPr>
      <w:r>
        <w:rPr>
          <w:rFonts w:ascii="Times New Roman" w:hAnsi="Times New Roman" w:eastAsia="Times New Roman"/>
          <w:b w:val="0"/>
          <w:i w:val="0"/>
          <w:color w:val="20252B"/>
          <w:sz w:val="20"/>
        </w:rPr>
        <w:t>In the 1991–1993 experiment, the oxygen content in a closed volume fell from 20.9 to 14.2% in sixteen months, which required an emergency supply of oxygen from the outside and was recognized as the main technical failure of the experiment. There were two reasons. The first was the respiration of microorganisms in soil deliberately enriched with organic matter, consuming oxygen faster than plants released it. The second, which was not immediately discovered, was the absorption of carbon dioxide by the concrete of the structure: carbonization bound the carbon irreversibly, and it dropped out of the cycle, which is why the oxygen released during photosynthesis was not returned to the atmosphere by the respiration of decomposing organic matter.</w:t>
      </w:r>
    </w:p>
    <w:p>
      <w:pPr>
        <w:pageBreakBefore w:val="0"/>
        <w:spacing w:after="80" w:line="269" w:lineRule="auto"/>
        <w:ind w:firstLine="397"/>
        <w:jc w:val="both"/>
      </w:pPr>
      <w:r>
        <w:rPr>
          <w:rFonts w:ascii="Times New Roman" w:hAnsi="Times New Roman" w:eastAsia="Times New Roman"/>
          <w:b w:val="0"/>
          <w:i w:val="0"/>
          <w:color w:val="20252B"/>
          <w:sz w:val="20"/>
        </w:rPr>
        <w:t>It is significant that both processes were small in instantaneous magnitude and unnoticeable against the background of daily fluctuations. What ruined the experiment was not speed, but systematicity: a small one-way flow, operating continuously, in just over a year brought the system beyond the limits of suitability.</w:t>
      </w:r>
    </w:p>
    <w:p>
      <w:pPr>
        <w:pStyle w:val="Heading2"/>
        <w:keepNext/>
        <w:pageBreakBefore w:val="0"/>
        <w:spacing w:after="40"/>
        <w:jc w:val="left"/>
      </w:pPr>
      <w:r>
        <w:rPr>
          <w:rFonts w:ascii="Times New Roman" w:hAnsi="Times New Roman" w:eastAsia="Times New Roman"/>
          <w:b w:val="0"/>
          <w:i w:val="0"/>
          <w:color w:val="20252B"/>
          <w:sz w:val="20"/>
        </w:rPr>
        <w:t>16.2. Applicability to the station: carbonization excluded</w:t>
      </w:r>
    </w:p>
    <w:p>
      <w:pPr>
        <w:pageBreakBefore w:val="0"/>
        <w:spacing w:after="80" w:line="269" w:lineRule="auto"/>
        <w:ind w:firstLine="397"/>
        <w:jc w:val="both"/>
      </w:pPr>
      <w:r>
        <w:rPr>
          <w:rFonts w:ascii="Times New Roman" w:hAnsi="Times New Roman" w:eastAsia="Times New Roman"/>
          <w:b w:val="0"/>
          <w:i w:val="0"/>
          <w:color w:val="20252B"/>
          <w:sz w:val="20"/>
        </w:rPr>
        <w:t>There is no reason associated with carbonation of concrete at the station. The load-bearing and enclosing structures are made of steel (Chapter 4, Chapter 10), concrete is not used in the project, therefore, there is no carbonization carbon sink. This circumstance follows directly from the accepted material.</w:t>
      </w:r>
    </w:p>
    <w:p>
      <w:pPr>
        <w:pageBreakBefore w:val="0"/>
        <w:spacing w:after="80" w:line="269" w:lineRule="auto"/>
        <w:ind w:firstLine="397"/>
        <w:jc w:val="both"/>
      </w:pPr>
      <w:r>
        <w:rPr>
          <w:rFonts w:ascii="Times New Roman" w:hAnsi="Times New Roman" w:eastAsia="Times New Roman"/>
          <w:b w:val="0"/>
          <w:i w:val="0"/>
          <w:color w:val="20252B"/>
          <w:sz w:val="20"/>
        </w:rPr>
        <w:t>The second reason - the imbalance of soil respiration - is discussed in paragraph 15.1 and paragraph 14.7, where it is shown that the carbon cycle is closed with the participation of technical processing and is under continuous control by the concentration of carbon dioxide.</w:t>
      </w:r>
    </w:p>
    <w:p>
      <w:pPr>
        <w:pStyle w:val="Heading2"/>
        <w:keepNext/>
        <w:pageBreakBefore w:val="0"/>
        <w:spacing w:after="40"/>
        <w:jc w:val="left"/>
      </w:pPr>
      <w:r>
        <w:rPr>
          <w:rFonts w:ascii="Times New Roman" w:hAnsi="Times New Roman" w:eastAsia="Times New Roman"/>
          <w:b w:val="0"/>
          <w:i w:val="0"/>
          <w:color w:val="20252B"/>
          <w:sz w:val="20"/>
        </w:rPr>
        <w:t>16.3. Own analogue: steel oxidation</w:t>
      </w:r>
    </w:p>
    <w:p>
      <w:pPr>
        <w:pageBreakBefore w:val="0"/>
        <w:spacing w:after="80" w:line="269" w:lineRule="auto"/>
        <w:ind w:firstLine="397"/>
        <w:jc w:val="both"/>
      </w:pPr>
      <w:r>
        <w:rPr>
          <w:rFonts w:ascii="Times New Roman" w:hAnsi="Times New Roman" w:eastAsia="Times New Roman"/>
          <w:b w:val="0"/>
          <w:i w:val="0"/>
          <w:color w:val="20252B"/>
          <w:sz w:val="20"/>
        </w:rPr>
        <w:t>However, the steel version has its own oxygen sink, which was not present in Biosphere 2: corrosion. The oxidation reaction of iron binds atmospheric oxygen irreversibly, and in a closed volume this oxygen is not renewed.</w:t>
      </w:r>
    </w:p>
    <w:p>
      <w:pPr>
        <w:pageBreakBefore w:val="0"/>
        <w:spacing w:after="80" w:line="269" w:lineRule="auto"/>
        <w:ind w:firstLine="397"/>
        <w:jc w:val="both"/>
      </w:pPr>
      <w:r>
        <w:rPr>
          <w:rFonts w:ascii="Times New Roman" w:hAnsi="Times New Roman" w:eastAsia="Times New Roman"/>
          <w:b w:val="0"/>
          <w:i w:val="0"/>
          <w:color w:val="20252B"/>
          <w:sz w:val="20"/>
        </w:rPr>
        <w:t>Corrosive drainage is calculated for exposed internal metal surfaces. The outer surface is in a vacuum, where there is no oxygen, and most of the inner area is isolated by soil, reservoirs and coatings. The estimated proportion of exposed metal is 5% of the total area of the two cylinders; the corresponding scenario is given in the next paragraph.</w:t>
      </w:r>
    </w:p>
    <w:p>
      <w:pPr>
        <w:pageBreakBefore w:val="0"/>
        <w:spacing w:after="80" w:line="269" w:lineRule="auto"/>
        <w:ind w:firstLine="397"/>
        <w:jc w:val="both"/>
      </w:pPr>
      <w:r>
        <w:rPr>
          <w:rFonts w:ascii="Times New Roman" w:hAnsi="Times New Roman" w:eastAsia="Times New Roman"/>
          <w:b w:val="0"/>
          <w:i w:val="0"/>
          <w:color w:val="20252B"/>
          <w:sz w:val="20"/>
        </w:rPr>
        <w:t>The calculated share of exposed metal is 5% of the total area of two cylinders, that is, 155.0 km²: technical rooms, supporting structures, pipelines, equipment. At a corrosion rate of 0.01 mm per year, 12.17 million tons of steel are oxidized, binding 5.23 million tons of oxygen per year - 0.331% of the reserve annually.</w:t>
      </w:r>
    </w:p>
    <w:p>
      <w:pPr>
        <w:pStyle w:val="Heading2"/>
        <w:keepNext/>
        <w:pageBreakBefore w:val="0"/>
        <w:spacing w:after="40"/>
        <w:jc w:val="left"/>
      </w:pPr>
      <w:r>
        <w:rPr>
          <w:rFonts w:ascii="Times New Roman" w:hAnsi="Times New Roman" w:eastAsia="Times New Roman"/>
          <w:b w:val="0"/>
          <w:i w:val="0"/>
          <w:color w:val="20252B"/>
          <w:sz w:val="20"/>
        </w:rPr>
        <w:t>16.4. Result: the value is significant</w:t>
      </w:r>
    </w:p>
    <w:p>
      <w:pPr>
        <w:pageBreakBefore w:val="0"/>
        <w:spacing w:after="80" w:line="269" w:lineRule="auto"/>
        <w:ind w:firstLine="397"/>
        <w:jc w:val="both"/>
      </w:pPr>
      <w:r>
        <w:rPr>
          <w:rFonts w:ascii="Times New Roman" w:hAnsi="Times New Roman" w:eastAsia="Times New Roman"/>
          <w:b w:val="0"/>
          <w:i w:val="0"/>
          <w:color w:val="20252B"/>
          <w:sz w:val="20"/>
        </w:rPr>
        <w:t>The oxygen reserve in the station’s atmosphere is 1.58 billion tons. With a flow of 5.23 million tons per year, 66.1% of the reserve is consumed over the designated service life of 200 years. In terms of volume fraction, this is a drop from 21 to 7.1%. The scenario shows that exposed surfaces must have coatings and cathodic protection; leaving 5% of metal at 0.01 mm/year cannot be considered a standard regime.</w:t>
      </w:r>
    </w:p>
    <w:p>
      <w:pPr>
        <w:pageBreakBefore w:val="0"/>
        <w:spacing w:after="80" w:line="269" w:lineRule="auto"/>
        <w:ind w:firstLine="397"/>
        <w:jc w:val="both"/>
      </w:pPr>
      <w:r>
        <w:rPr>
          <w:rFonts w:ascii="Times New Roman" w:hAnsi="Times New Roman" w:eastAsia="Times New Roman"/>
          <w:b w:val="0"/>
          <w:i w:val="0"/>
          <w:color w:val="20252B"/>
          <w:sz w:val="20"/>
        </w:rPr>
        <w:t>The threshold is accepted according to sanitary standards: hypoxic phenomena begin below 19.5% of the volume fraction, which corresponds to a loss of 7.1% of the reserve, or 113 million tons. Without compensation, this limit is reached in approximately 21.6 years - that is, within the life of the first generation of residents.</w:t>
      </w:r>
    </w:p>
    <w:p>
      <w:pPr>
        <w:pageBreakBefore w:val="0"/>
        <w:spacing w:after="80" w:line="269" w:lineRule="auto"/>
        <w:ind w:firstLine="397"/>
        <w:jc w:val="both"/>
      </w:pPr>
      <w:r>
        <w:rPr>
          <w:rFonts w:ascii="Times New Roman" w:hAnsi="Times New Roman" w:eastAsia="Times New Roman"/>
          <w:b w:val="0"/>
          <w:i w:val="0"/>
          <w:color w:val="20252B"/>
          <w:sz w:val="20"/>
        </w:rPr>
        <w:t>The estimate is sensitive to the assumed proportion of exposed metal, and this should be stated explicitly: at 2% the loss in 200 years would be about 26.5% of the reserve, at 5% - 66.1%, at 10% the reserve would be exhausted in about 151 years, at 20% - in about 76 years. The exact value is determined by the layout of the premises, which has not been developed at this stage, so the calculation gives an order of magnitude and a mandatory requirement for surface protection.</w:t>
      </w:r>
    </w:p>
    <w:p>
      <w:pPr>
        <w:pStyle w:val="Heading2"/>
        <w:keepNext/>
        <w:pageBreakBefore w:val="0"/>
        <w:spacing w:after="40"/>
        <w:jc w:val="left"/>
      </w:pPr>
      <w:r>
        <w:rPr>
          <w:rFonts w:ascii="Times New Roman" w:hAnsi="Times New Roman" w:eastAsia="Times New Roman"/>
          <w:b w:val="0"/>
          <w:i w:val="0"/>
          <w:color w:val="20252B"/>
          <w:sz w:val="20"/>
        </w:rPr>
        <w:t>16.5. Compensation</w:t>
      </w:r>
    </w:p>
    <w:p>
      <w:pPr>
        <w:pageBreakBefore w:val="0"/>
        <w:spacing w:after="80" w:line="269" w:lineRule="auto"/>
        <w:ind w:firstLine="397"/>
        <w:jc w:val="both"/>
      </w:pPr>
      <w:r>
        <w:rPr>
          <w:rFonts w:ascii="Times New Roman" w:hAnsi="Times New Roman" w:eastAsia="Times New Roman"/>
          <w:b w:val="0"/>
          <w:i w:val="0"/>
          <w:color w:val="20252B"/>
          <w:sz w:val="20"/>
        </w:rPr>
        <w:t>Replenishment is carried out by electrolysis of water already included in life support systems. Demand: 5.23 million tons of oxygen per year, which requires 5.88 million tons of water per year with energy consumption of 2.63 GW, that is, 0.365% of the station’s power. The value is small compared to 721.4 GW, but should be clearly reserved in the life support loop.</w:t>
      </w:r>
    </w:p>
    <w:p>
      <w:pPr>
        <w:pageBreakBefore w:val="0"/>
        <w:spacing w:after="80" w:line="269" w:lineRule="auto"/>
        <w:ind w:firstLine="397"/>
        <w:jc w:val="both"/>
      </w:pPr>
      <w:r>
        <w:rPr>
          <w:rFonts w:ascii="Times New Roman" w:hAnsi="Times New Roman" w:eastAsia="Times New Roman"/>
          <w:b w:val="0"/>
          <w:i w:val="0"/>
          <w:color w:val="20252B"/>
          <w:sz w:val="20"/>
        </w:rPr>
        <w:t>The hydrogen residue from electrolysis, 0.65 million tons per year, is not discarded: it is sent to the reduction of iron oxides in the metallurgical process, where it returns both iron and bound oxygen to circulation. With full return, the need for fresh water is removed and the circuit is closed.</w:t>
      </w:r>
    </w:p>
    <w:p>
      <w:pPr>
        <w:pageBreakBefore w:val="0"/>
        <w:spacing w:after="80" w:line="269" w:lineRule="auto"/>
        <w:ind w:firstLine="397"/>
        <w:jc w:val="both"/>
      </w:pPr>
      <w:r>
        <w:rPr>
          <w:rFonts w:ascii="Times New Roman" w:hAnsi="Times New Roman" w:eastAsia="Times New Roman"/>
          <w:b w:val="0"/>
          <w:i w:val="0"/>
          <w:color w:val="20252B"/>
          <w:sz w:val="20"/>
        </w:rPr>
        <w:t>The preferred approach, however, is prevention rather than compensation: protective coatings on exposed steel surfaces, maintaining relative humidity below 60% in technical rooms and cathodic protection of wet areas. A decrease in the corrosion rate by an order of magnitude, to 0.001 mm per year, makes the issue manageable: the exhaustion period with the accepted proportion of exposed metal increases to approximately 3,000 years.</w:t>
      </w:r>
    </w:p>
    <w:p>
      <w:pPr>
        <w:pageBreakBefore w:val="0"/>
        <w:spacing w:after="80" w:line="269" w:lineRule="auto"/>
        <w:ind w:firstLine="397"/>
        <w:jc w:val="both"/>
      </w:pPr>
      <w:r>
        <w:rPr>
          <w:rFonts w:ascii="Times New Roman" w:hAnsi="Times New Roman" w:eastAsia="Times New Roman"/>
          <w:b w:val="0"/>
          <w:i w:val="0"/>
          <w:color w:val="20252B"/>
          <w:sz w:val="20"/>
        </w:rPr>
        <w:t>Requirements for use. The volume fraction of oxygen is subject to continuous measurement along with carbon dioxide (clause 14.7). A steady decrease that cannot be explained by respiration is a sign of corrosion runoff and requires inspection of coatings. Warning setpoint - 20.5%, emergency - 19.5%.</w:t>
      </w:r>
    </w:p>
    <w:p>
      <w:pPr>
        <w:pStyle w:val="Heading2"/>
        <w:keepNext/>
        <w:pageBreakBefore w:val="0"/>
        <w:spacing w:after="40"/>
        <w:jc w:val="left"/>
      </w:pPr>
      <w:r>
        <w:rPr>
          <w:rFonts w:ascii="Times New Roman" w:hAnsi="Times New Roman" w:eastAsia="Times New Roman"/>
          <w:b w:val="0"/>
          <w:i w:val="0"/>
          <w:color w:val="20252B"/>
          <w:sz w:val="20"/>
        </w:rPr>
        <w:t>16.6. Current list of unresolved issues</w:t>
      </w:r>
    </w:p>
    <w:p>
      <w:pPr>
        <w:pageBreakBefore w:val="0"/>
        <w:spacing w:after="80" w:line="269" w:lineRule="auto"/>
        <w:ind w:firstLine="397"/>
        <w:jc w:val="both"/>
      </w:pPr>
      <w:r>
        <w:rPr>
          <w:rFonts w:ascii="Times New Roman" w:hAnsi="Times New Roman" w:eastAsia="Times New Roman"/>
          <w:b w:val="0"/>
          <w:i w:val="0"/>
          <w:color w:val="20252B"/>
          <w:sz w:val="20"/>
        </w:rPr>
        <w:t>The current list of unsolved problems is given below and includes biosphere dynamics, structural fatigue and corrosion, demography, mining technologies and other issues requiring experimentation and independent expertise.</w:t>
      </w:r>
    </w:p>
    <w:p>
      <w:pPr>
        <w:pageBreakBefore w:val="0"/>
        <w:spacing w:after="80" w:line="269" w:lineRule="auto"/>
        <w:ind w:firstLine="397"/>
        <w:jc w:val="both"/>
      </w:pPr>
      <w:r>
        <w:rPr>
          <w:rFonts w:ascii="Times New Roman" w:hAnsi="Times New Roman" w:eastAsia="Times New Roman"/>
          <w:b w:val="0"/>
          <w:i w:val="0"/>
          <w:color w:val="20252B"/>
          <w:sz w:val="20"/>
        </w:rPr>
        <w:t>First. Dynamic stability of the biosphere. All document balances are stationary: they show that income is equal to expenses, but do not describe fluctuations, delays and possible breakdowns of regulation. The dynamics of a closed biosphere requires separate simulation modeling with lags; This work is included in the mandatory program of further research.</w:t>
      </w:r>
    </w:p>
    <w:p>
      <w:pPr>
        <w:pageBreakBefore w:val="0"/>
        <w:spacing w:after="80" w:line="269" w:lineRule="auto"/>
        <w:ind w:firstLine="397"/>
        <w:jc w:val="both"/>
      </w:pPr>
      <w:r>
        <w:rPr>
          <w:rFonts w:ascii="Times New Roman" w:hAnsi="Times New Roman" w:eastAsia="Times New Roman"/>
          <w:b w:val="0"/>
          <w:i w:val="0"/>
          <w:color w:val="20252B"/>
          <w:sz w:val="20"/>
        </w:rPr>
        <w:t>Second. Low-cycle fatigue of a steel belt at a constant stress of 1,308 MPa over the horizon of centuries. Paragraph 14.3 shows a margin of 27 times the number of cycles, but there are no test data for maraging steels for such periods.</w:t>
      </w:r>
    </w:p>
    <w:p>
      <w:pPr>
        <w:pageBreakBefore w:val="0"/>
        <w:spacing w:after="80" w:line="269" w:lineRule="auto"/>
        <w:ind w:firstLine="397"/>
        <w:jc w:val="both"/>
      </w:pPr>
      <w:r>
        <w:rPr>
          <w:rFonts w:ascii="Times New Roman" w:hAnsi="Times New Roman" w:eastAsia="Times New Roman"/>
          <w:b w:val="0"/>
          <w:i w:val="0"/>
          <w:color w:val="20252B"/>
          <w:sz w:val="20"/>
        </w:rPr>
        <w:t>Third. Technology for enriching asteroidal iron-nickel raw materials to the composition 18Ni(300). Metallurgical processing in zero gravity has not been developed either here or in known sources.</w:t>
      </w:r>
    </w:p>
    <w:p>
      <w:pPr>
        <w:pageBreakBefore w:val="0"/>
        <w:spacing w:after="80" w:line="269" w:lineRule="auto"/>
        <w:ind w:firstLine="397"/>
        <w:jc w:val="both"/>
      </w:pPr>
      <w:r>
        <w:rPr>
          <w:rFonts w:ascii="Times New Roman" w:hAnsi="Times New Roman" w:eastAsia="Times New Roman"/>
          <w:b w:val="0"/>
          <w:i w:val="0"/>
          <w:color w:val="20252B"/>
          <w:sz w:val="20"/>
        </w:rPr>
        <w:t>Fourth. Genetic stability of a population over the horizon of centuries. The demographic calculation of paragraph 11.4 operates on the number, but not on the genetic diversity of the founders.</w:t>
      </w:r>
    </w:p>
    <w:p>
      <w:pPr>
        <w:pageBreakBefore w:val="0"/>
        <w:spacing w:after="80" w:line="269" w:lineRule="auto"/>
        <w:ind w:firstLine="397"/>
        <w:jc w:val="both"/>
      </w:pPr>
      <w:r>
        <w:rPr>
          <w:rFonts w:ascii="Times New Roman" w:hAnsi="Times New Roman" w:eastAsia="Times New Roman"/>
          <w:b w:val="0"/>
          <w:i w:val="0"/>
          <w:color w:val="20252B"/>
          <w:sz w:val="20"/>
        </w:rPr>
        <w:t>Fifth. The detailed layout of the interior spaces and the exact proportion of exposed metal in the living volume remain unresolved. The transport interface, front frames, two A/B corridors, four movement channels, a hollow axial shaft and a sequence of pressurized chambers are now specified in a separate specification `TRANSPORT_INTERFACE_SPEC_v1.md`, but this is not yet a working detail of the premises.</w:t>
      </w:r>
    </w:p>
    <w:p>
      <w:pPr>
        <w:pageBreakBefore w:val="0"/>
        <w:spacing w:after="80" w:line="269" w:lineRule="auto"/>
        <w:ind w:firstLine="397"/>
      </w:pPr>
      <w:r>
        <w:rPr>
          <w:rFonts w:ascii="Times New Roman" w:hAnsi="Times New Roman" w:eastAsia="Times New Roman"/>
          <w:b w:val="0"/>
          <w:i w:val="0"/>
          <w:color w:val="20252B"/>
          <w:sz w:val="20"/>
        </w:rPr>
        <w:t>Seventh. Socio-legal system of the resident population: law enforcement, investigation and appeal procedures, labor and family law, social security, child protection, medical and biometric data, and the limits of emergency powers of the administration (Chapter 17).</w:t>
      </w:r>
    </w:p>
    <w:p>
      <w:pPr>
        <w:pageBreakBefore w:val="0"/>
        <w:spacing w:after="80" w:line="269" w:lineRule="auto"/>
        <w:ind w:firstLine="397"/>
      </w:pPr>
      <w:r>
        <w:rPr>
          <w:rFonts w:ascii="Times New Roman" w:hAnsi="Times New Roman" w:eastAsia="Times New Roman"/>
          <w:b w:val="0"/>
          <w:i w:val="0"/>
          <w:color w:val="20252B"/>
          <w:sz w:val="20"/>
        </w:rPr>
        <w:t>Eighth. Nuclear-radiological circuit of thermonuclear energy: production and accounting of tritium, neutron activation, dose fields, radioactive waste management, licensing and decommissioning (Chapter 18). If a fissile reactor becomes available, a separate full nuclear fuel cycle program will be required.</w:t>
      </w:r>
    </w:p>
    <w:p>
      <w:pPr>
        <w:pageBreakBefore w:val="0"/>
        <w:spacing w:after="80" w:line="269" w:lineRule="auto"/>
        <w:ind w:firstLine="397"/>
        <w:jc w:val="both"/>
      </w:pPr>
      <w:r>
        <w:rPr>
          <w:rFonts w:ascii="Times New Roman" w:hAnsi="Times New Roman" w:eastAsia="Times New Roman"/>
          <w:b w:val="0"/>
          <w:i w:val="0"/>
          <w:color w:val="20252B"/>
          <w:sz w:val="20"/>
        </w:rPr>
        <w:t>Sixth. Monetary value and economic model of the station’s existence (clause 15.3), stability of the soil community at reduced severity (clause 15.1) and long-term psychological consequences of isolation (clause 15.2).</w:t>
      </w:r>
    </w:p>
    <w:p>
      <w:pPr>
        <w:pageBreakBefore w:val="0"/>
        <w:spacing w:after="80" w:line="269" w:lineRule="auto"/>
        <w:ind w:firstLine="397"/>
      </w:pPr>
      <w:r>
        <w:rPr>
          <w:rFonts w:ascii="Times New Roman" w:hAnsi="Times New Roman" w:eastAsia="Times New Roman"/>
          <w:b w:val="0"/>
          <w:i w:val="0"/>
          <w:color w:val="20252B"/>
          <w:sz w:val="20"/>
        </w:rPr>
        <w:t>Ninth. Additional interdisciplinary problems collected in Chap. 19: scarce materials and industrial feasibility, full-scale mechanics, biosphere dynamics and trace pollutants, human physiology, fire and toxicology, energy and water transients, transport and rescue, orbital navigation and communications, software verification, production quality, human factors, financing and uncertainty budgeting.</w:t>
      </w:r>
    </w:p>
    <w:p>
      <w:pPr>
        <w:pageBreakBefore w:val="0"/>
        <w:spacing w:after="80" w:line="269" w:lineRule="auto"/>
        <w:ind w:firstLine="397"/>
        <w:jc w:val="both"/>
      </w:pPr>
      <w:r>
        <w:rPr>
          <w:rFonts w:ascii="Times New Roman" w:hAnsi="Times New Roman" w:eastAsia="Times New Roman"/>
          <w:b w:val="0"/>
          <w:i w:val="0"/>
          <w:color w:val="20252B"/>
          <w:sz w:val="20"/>
        </w:rPr>
        <w:t>The layout base of the transport interface, combined front frame, berth portals, six solar wings, three-antenna scheme and coordinate base of the internal map is considered closed at the level of the text design solution; the description is in chapters 4, 7, 12 and 13 of this document. The following checks remain mandatory: dynamics of a magnetic bearing Ø400 m, landing on mechanical catchers, FEA reinforcement of wellheads Ø30 m, service life of segmented seals, thermal expansion of the transition, strength of wings, longitudinal dynamics of a full cabin weighing 15 tons, braking distance and radiation protection of a closed route. Separate text specifications for these solutions are not part of the project and are not created. Additionally required: cybersecurity of critical automation, space weather and radiation event plan, emergency headquarters and rescue, planetary protection, certification and acceptance program, responsibility matrix of the project author, future operator and external carrier, as well as conservation and completion of operation.</w:t>
      </w:r>
    </w:p>
    <w:p/>
    <w:p>
      <w:pPr>
        <w:spacing w:before="200"/>
        <w:jc w:val="center"/>
      </w:pPr>
      <w:r>
        <w:rPr>
          <w:b/>
          <w:color w:val="2E5496"/>
          <w:sz w:val="17"/>
        </w:rPr>
        <w:t>СПИСОК ЛИТЕРАТУРЫ РАЗДЕЛА / REFERENCES OF THIS SECTION</w:t>
      </w:r>
    </w:p>
    <w:p>
      <w:pPr>
        <w:ind w:left="340" w:hanging="340"/>
      </w:pPr>
      <w:r>
        <w:rPr>
          <w:sz w:val="18"/>
        </w:rPr>
        <w:t>1. Nelson M., Burgess T. L., Ailing A., Alvarez-Romo N., Dempster W. F., Walford R. L., Allen J. P. Using a closed ecological system to study Earth’s biosphere: initial results from Biosphere 2 // BioScience. 1993. Vol. 43. P. 225–236.</w:t>
      </w:r>
    </w:p>
    <w:p>
      <w:pPr>
        <w:ind w:left="340" w:hanging="340"/>
      </w:pPr>
      <w:r>
        <w:rPr>
          <w:sz w:val="18"/>
        </w:rPr>
        <w:t>1. Nelson M., Burgess T. L., Ailing A., Alvarez-Romo N., Dempster W. F., Walford R. L., Allen J. P. Using a closed ecological system to study Earth’s biosphere: initial results from Biosphere 2 // BioScience. 1993. Vol. 43. P. 225–236.</w:t>
      </w:r>
    </w:p>
    <w:p>
      <w:pPr>
        <w:ind w:left="340" w:hanging="340"/>
      </w:pPr>
      <w:r>
        <w:rPr>
          <w:sz w:val="18"/>
        </w:rPr>
        <w:t>2. Severinghaus J. P., Broecker W. F., Dempster T. F., MacCallum T., Wahlen M. Oxygen loss in Biosphere 2 // Eos, Transactions American Geophysical Union. 1994. Vol. 75, No. 3. P. 33–37. doi:10.1029/94EO00285.</w:t>
      </w:r>
    </w:p>
    <w:p>
      <w:pPr>
        <w:ind w:left="340" w:hanging="340"/>
      </w:pPr>
      <w:r>
        <w:rPr>
          <w:sz w:val="18"/>
        </w:rPr>
        <w:t>2. Severinghaus J. P., Broecker W. F., Dempster T. F., MacCallum T., Wahlen M. Oxygen loss in Biosphere 2 // Eos, Transactions American Geophysical Union. 1994. Vol. 75, No. 3. P. 33–37. doi:10.1029/94EO00285.</w:t>
      </w:r>
    </w:p>
    <w:p>
      <w:r>
        <w:rPr>
          <w:b/>
          <w:sz w:val="18"/>
        </w:rPr>
        <w:t>Кроме того, раздел опирается на собственные допущения публикации:</w:t>
      </w:r>
    </w:p>
    <w:p>
      <w:pPr>
        <w:ind w:left="340" w:hanging="340"/>
      </w:pPr>
      <w:r>
        <w:rPr>
          <w:sz w:val="18"/>
        </w:rPr>
        <w:t>· Эксперимент «Биосфера-2», 1991–1993 гг.: падение объёмной доли кислорода с 20,9 до 14,2 % за шестнадцать месяцев.</w:t>
      </w:r>
    </w:p>
    <w:p>
      <w:pPr>
        <w:ind w:left="340" w:hanging="340"/>
      </w:pPr>
      <w:r>
        <w:rPr>
          <w:sz w:val="18"/>
        </w:rPr>
        <w:t>· Biosphere 2 experiment, 1991–1993: oxygen volume fraction fell from 20.9 % to 14.2 % over sixteen months.</w:t>
      </w:r>
    </w:p>
    <w:sectPr w:rsidR="00FC693F" w:rsidRPr="0006063C" w:rsidSect="00034616">
      <w:pgSz w:w="11906" w:h="16838"/>
      <w:pgMar w:top="1134" w:right="964" w:bottom="1134"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2E549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1F3864"/>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