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17 / Section 17</w:t>
      </w:r>
    </w:p>
    <w:p>
      <w:pPr>
        <w:jc w:val="center"/>
      </w:pPr>
      <w:r>
        <w:rPr>
          <w:b/>
          <w:color w:val="1F3864"/>
          <w:sz w:val="26"/>
        </w:rPr>
        <w:t>17. ПРАВООХРАНИТЕЛЬНАЯ И СОЦИАЛЬНАЯ СИСТЕМА СТАНЦИИ</w:t>
      </w:r>
    </w:p>
    <w:p>
      <w:pPr>
        <w:jc w:val="center"/>
      </w:pPr>
      <w:r>
        <w:rPr>
          <w:b/>
          <w:color w:val="1F3864"/>
          <w:sz w:val="26"/>
        </w:rPr>
        <w:t>17. LAW ENFORCEMENT AND SOCIAL SYSTEM OF THE STATION</w:t>
      </w:r>
    </w:p>
    <w:p>
      <w:pPr>
        <w:jc w:val="center"/>
      </w:pPr>
      <w:r>
        <w:rPr>
          <w:i/>
          <w:sz w:val="17"/>
        </w:rPr>
        <w:t>Редакция 8 · 31 октября 2026 г.  ·  документ 19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keepNext/>
        <w:pageBreakBefore w:val="0"/>
        <w:spacing w:after="40"/>
      </w:pPr>
      <w:r>
        <w:rPr>
          <w:rFonts w:ascii="Times New Roman" w:hAnsi="Times New Roman" w:eastAsia="Times New Roman"/>
          <w:b/>
          <w:i w:val="0"/>
          <w:color w:val="1F3A5F"/>
          <w:sz w:val="30"/>
        </w:rPr>
        <w:t>17. ПРАВООХРАНИТЕЛЬНАЯ И СОЦИАЛЬНАЯ СИСТЕМА СТАНЦИИ</w:t>
      </w:r>
    </w:p>
    <w:p>
      <w:pPr>
        <w:pageBreakBefore w:val="0"/>
        <w:spacing w:after="80" w:line="269" w:lineRule="auto"/>
        <w:ind w:firstLine="397"/>
      </w:pPr>
      <w:r>
        <w:rPr>
          <w:rFonts w:ascii="Times New Roman" w:hAnsi="Times New Roman" w:eastAsia="Times New Roman"/>
          <w:b w:val="0"/>
          <w:i w:val="0"/>
          <w:color w:val="20252B"/>
          <w:sz w:val="20"/>
        </w:rPr>
        <w:t>Настоящая глава закрывает пробел между общей правовой моделью главы 13 и практической жизнью постоянного населения. Она не создаёт автоматически государство, полицию или суд станции: до договорного перехода станция остаётся космическим объектом под юрисдикцией государства регистрации, а автор проекта — инициатором личной инженерной разработки, не заменяющим лицензируемого оператора. Ниже задаётся требуемая архитектура управления и перечень вопросов, которые должны быть оформлены отдельными нормативными актами, договорами и процедурами.</w:t>
      </w:r>
    </w:p>
    <w:p>
      <w:pPr>
        <w:pStyle w:val="Heading2"/>
        <w:keepNext/>
        <w:pageBreakBefore w:val="0"/>
        <w:spacing w:after="40"/>
      </w:pPr>
      <w:r>
        <w:rPr>
          <w:rFonts w:ascii="Times New Roman" w:hAnsi="Times New Roman" w:eastAsia="Times New Roman"/>
          <w:b/>
          <w:i w:val="0"/>
          <w:color w:val="2F5D83"/>
          <w:sz w:val="25"/>
        </w:rPr>
        <w:t>17.1. Статус управления на переходном этапе</w:t>
      </w:r>
    </w:p>
    <w:p>
      <w:pPr>
        <w:pageBreakBefore w:val="0"/>
        <w:spacing w:after="80" w:line="269" w:lineRule="auto"/>
        <w:ind w:firstLine="397"/>
      </w:pPr>
      <w:r>
        <w:rPr>
          <w:rFonts w:ascii="Times New Roman" w:hAnsi="Times New Roman" w:eastAsia="Times New Roman"/>
          <w:b w:val="0"/>
          <w:i w:val="0"/>
          <w:color w:val="20252B"/>
          <w:sz w:val="20"/>
        </w:rPr>
        <w:t>На первом этапе действует операторская администрация станции. Её полномочия возникают из устава оператора, договора с государством регистрации, разрешений на космическую деятельность и трудовых или гражданско-правовых договоров с экипажем и жителями. Администрация не обладает суверенитетом над станцией, астероидом или космическим пространством и не может объявлять внутренние правила равными законам государства.</w:t>
      </w:r>
    </w:p>
    <w:p>
      <w:pPr>
        <w:pageBreakBefore w:val="0"/>
        <w:spacing w:after="80" w:line="269" w:lineRule="auto"/>
        <w:ind w:firstLine="397"/>
      </w:pPr>
      <w:r>
        <w:rPr>
          <w:rFonts w:ascii="Times New Roman" w:hAnsi="Times New Roman" w:eastAsia="Times New Roman"/>
          <w:b w:val="0"/>
          <w:i w:val="0"/>
          <w:color w:val="20252B"/>
          <w:sz w:val="20"/>
        </w:rPr>
        <w:t>Должны быть разделены как минимум четыре функции: оператор и владелец инфраструктуры; орган безопасности и расследования; медицинская и социальная служба; независимый инспектор, принимающий жалобы на действия администрации. Совмещение эксплуатации, расследования собственного нарушения и вынесения окончательного решения по жалобе не допускается без процедуры независимого пересмотра.</w:t>
      </w:r>
    </w:p>
    <w:p>
      <w:pPr>
        <w:pStyle w:val="Heading2"/>
        <w:keepNext/>
        <w:pageBreakBefore w:val="0"/>
        <w:spacing w:after="40"/>
      </w:pPr>
      <w:r>
        <w:rPr>
          <w:rFonts w:ascii="Times New Roman" w:hAnsi="Times New Roman" w:eastAsia="Times New Roman"/>
          <w:b/>
          <w:i w:val="0"/>
          <w:color w:val="2F5D83"/>
          <w:sz w:val="25"/>
        </w:rPr>
        <w:t>17.2. Правоохранительная служба, расследование и физическая безопасность</w:t>
      </w:r>
    </w:p>
    <w:p>
      <w:pPr>
        <w:pageBreakBefore w:val="0"/>
        <w:spacing w:after="80" w:line="269" w:lineRule="auto"/>
        <w:ind w:firstLine="397"/>
      </w:pPr>
      <w:r>
        <w:rPr>
          <w:rFonts w:ascii="Times New Roman" w:hAnsi="Times New Roman" w:eastAsia="Times New Roman"/>
          <w:b w:val="0"/>
          <w:i w:val="0"/>
          <w:color w:val="20252B"/>
          <w:sz w:val="20"/>
        </w:rPr>
        <w:t>На станции необходима небольшая профессиональная служба общественной безопасности, подчинённая не одному начальнику смены, а утверждённому регламенту с двойным контуром подотчётности. Её задачи: предотвращение насилия и саботажа, защита людей и критической автоматики, охрана мест происшествий, первичный сбор доказательств, контроль доступа и помощь при эвакуации. Она не заменяет государственные органы и не получает права применять силу вне установленной юрисдикции.</w:t>
      </w:r>
    </w:p>
    <w:p>
      <w:pPr>
        <w:pageBreakBefore w:val="0"/>
        <w:spacing w:after="80" w:line="269" w:lineRule="auto"/>
        <w:ind w:firstLine="397"/>
      </w:pPr>
      <w:r>
        <w:rPr>
          <w:rFonts w:ascii="Times New Roman" w:hAnsi="Times New Roman" w:eastAsia="Times New Roman"/>
          <w:b w:val="0"/>
          <w:i w:val="0"/>
          <w:color w:val="20252B"/>
          <w:sz w:val="20"/>
        </w:rPr>
        <w:t>Для каждого происшествия должны фиксироваться время, место, состояние систем, действия персонала, видеоданные и цепочка хранения доказательств. Техническое расследование аварии должно быть отделено от уголовного или дисциплинарного вывода: отказ автоматики не может автоматически объявляться виной оператора. Обязательны запрет самоуправства, регистрация задержания, доступ к медицинской помощи и немедленное уведомление уполномоченного внешнего органа в случаях, предусмотренных применимым правом.</w:t>
      </w:r>
    </w:p>
    <w:p>
      <w:pPr>
        <w:pStyle w:val="Heading2"/>
        <w:keepNext/>
        <w:pageBreakBefore w:val="0"/>
        <w:spacing w:after="40"/>
      </w:pPr>
      <w:r>
        <w:rPr>
          <w:rFonts w:ascii="Times New Roman" w:hAnsi="Times New Roman" w:eastAsia="Times New Roman"/>
          <w:b/>
          <w:i w:val="0"/>
          <w:color w:val="2F5D83"/>
          <w:sz w:val="25"/>
        </w:rPr>
        <w:t>17.3. Судебные и внесудебные процедуры</w:t>
      </w:r>
    </w:p>
    <w:p>
      <w:pPr>
        <w:pageBreakBefore w:val="0"/>
        <w:spacing w:after="80" w:line="269" w:lineRule="auto"/>
        <w:ind w:firstLine="397"/>
      </w:pPr>
      <w:r>
        <w:rPr>
          <w:rFonts w:ascii="Times New Roman" w:hAnsi="Times New Roman" w:eastAsia="Times New Roman"/>
          <w:b w:val="0"/>
          <w:i w:val="0"/>
          <w:color w:val="20252B"/>
          <w:sz w:val="20"/>
        </w:rPr>
        <w:t>До создания договорной автономии споры разрешаются по праву государства регистрации, российскому праву в пределах компетенции российского оператора и условиям договора с жителем. Для малых бытовых споров нужен медиатор или примирительная комиссия; для трудовых, имущественных и дисциплинарных споров — письменная процедура с мотивированным решением и сроком обжалования; для тяжких деяний — передача дела компетентному государственному органу, если иное не установлено международным соглашением.</w:t>
      </w:r>
    </w:p>
    <w:p>
      <w:pPr>
        <w:pageBreakBefore w:val="0"/>
        <w:spacing w:after="80" w:line="269" w:lineRule="auto"/>
        <w:ind w:firstLine="397"/>
      </w:pPr>
      <w:r>
        <w:rPr>
          <w:rFonts w:ascii="Times New Roman" w:hAnsi="Times New Roman" w:eastAsia="Times New Roman"/>
          <w:b w:val="0"/>
          <w:i w:val="0"/>
          <w:color w:val="20252B"/>
          <w:sz w:val="20"/>
        </w:rPr>
        <w:t>Временная хартия станции должна закрепить презумпцию невиновности, право знать обвинение, право на представителя, запрет наказания без процедуры, запрет двойного наказания за одно деяние и обязанность сохранять доказательства. Любая внутренняя «чрезвычайная юрисдикция» должна иметь ограниченный срок, перечень оснований и последующий независимый пересмотр.</w:t>
      </w:r>
    </w:p>
    <w:p>
      <w:pPr>
        <w:pStyle w:val="Heading2"/>
        <w:keepNext/>
        <w:pageBreakBefore w:val="0"/>
        <w:spacing w:after="40"/>
      </w:pPr>
      <w:r>
        <w:rPr>
          <w:rFonts w:ascii="Times New Roman" w:hAnsi="Times New Roman" w:eastAsia="Times New Roman"/>
          <w:b/>
          <w:i w:val="0"/>
          <w:color w:val="2F5D83"/>
          <w:sz w:val="25"/>
        </w:rPr>
        <w:t>17.4. Права, обязанности и гарантии жителей</w:t>
      </w:r>
    </w:p>
    <w:p>
      <w:pPr>
        <w:pageBreakBefore w:val="0"/>
        <w:spacing w:after="80" w:line="269" w:lineRule="auto"/>
        <w:ind w:firstLine="397"/>
      </w:pPr>
      <w:r>
        <w:rPr>
          <w:rFonts w:ascii="Times New Roman" w:hAnsi="Times New Roman" w:eastAsia="Times New Roman"/>
          <w:b w:val="0"/>
          <w:i w:val="0"/>
          <w:color w:val="20252B"/>
          <w:sz w:val="20"/>
        </w:rPr>
        <w:t>Базовый каталог прав включает жизнь и физическую неприкосновенность, медицинскую помощь, безопасные условия труда и проживания, связь с Землёй, защиту частной жизни, свободу совести и выражения мнения в пределах требований безопасности, доступ к процедуре жалобы и защиту от дискриминации. Оператор обязан публиковать правила, которые ограничивают эти права, и указывать, какая именно опасность оправдывает ограничение.</w:t>
      </w:r>
    </w:p>
    <w:p>
      <w:pPr>
        <w:pageBreakBefore w:val="0"/>
        <w:spacing w:after="80" w:line="269" w:lineRule="auto"/>
        <w:ind w:firstLine="397"/>
      </w:pPr>
      <w:r>
        <w:rPr>
          <w:rFonts w:ascii="Times New Roman" w:hAnsi="Times New Roman" w:eastAsia="Times New Roman"/>
          <w:b w:val="0"/>
          <w:i w:val="0"/>
          <w:color w:val="20252B"/>
          <w:sz w:val="20"/>
        </w:rPr>
        <w:t>Обязанности жителей включают соблюдение регламентов безопасности, участие в обязательной подготовке к авариям, сообщение о непосредственной угрозе, сохранение критической инфраструктуры и выполнение законных распоряжений при эвакуации. Принудительный труд как постоянная форма обеспечения станции недопустим; аварийные обязанности должны быть ограничены временем, необходимостью и медицинскими противопоказаниями.</w:t>
      </w:r>
    </w:p>
    <w:p>
      <w:pPr>
        <w:pStyle w:val="Heading2"/>
        <w:keepNext/>
        <w:pageBreakBefore w:val="0"/>
        <w:spacing w:after="40"/>
      </w:pPr>
      <w:r>
        <w:rPr>
          <w:rFonts w:ascii="Times New Roman" w:hAnsi="Times New Roman" w:eastAsia="Times New Roman"/>
          <w:b/>
          <w:i w:val="0"/>
          <w:color w:val="2F5D83"/>
          <w:sz w:val="25"/>
        </w:rPr>
        <w:t>17.5. Труд, жильё, образование, медицина и социальное обеспечение</w:t>
      </w:r>
    </w:p>
    <w:p>
      <w:pPr>
        <w:pageBreakBefore w:val="0"/>
        <w:spacing w:after="80" w:line="269" w:lineRule="auto"/>
        <w:ind w:firstLine="397"/>
      </w:pPr>
      <w:r>
        <w:rPr>
          <w:rFonts w:ascii="Times New Roman" w:hAnsi="Times New Roman" w:eastAsia="Times New Roman"/>
          <w:b w:val="0"/>
          <w:i w:val="0"/>
          <w:color w:val="20252B"/>
          <w:sz w:val="20"/>
        </w:rPr>
        <w:t>Эксплуатационная модель должна содержать трудовой кодекс станции: продолжительность смен, отдых, воздействие радиации и шума, допуски к критическим системам, обучение, расследование производственных травм, оплату или иной эквивалент вознаграждения и порядок отказа от опасной работы при непосредственной угрозе жизни. Жильё не может быть одновременно рабочим местом без учёта права на отдых и личное пространство.</w:t>
      </w:r>
    </w:p>
    <w:p>
      <w:pPr>
        <w:pageBreakBefore w:val="0"/>
        <w:spacing w:after="80" w:line="269" w:lineRule="auto"/>
        <w:ind w:firstLine="397"/>
      </w:pPr>
      <w:r>
        <w:rPr>
          <w:rFonts w:ascii="Times New Roman" w:hAnsi="Times New Roman" w:eastAsia="Times New Roman"/>
          <w:b w:val="0"/>
          <w:i w:val="0"/>
          <w:color w:val="20252B"/>
          <w:sz w:val="20"/>
        </w:rPr>
        <w:t>Социальная система должна включать первичную и специализированную медицину, психологическую помощь, инвалидность, временную нетрудоспособность, пенсионные и страховые механизмы, обучение детей и взрослых, культурные учреждения и помощь при утрате кормильца. Показатели доступности медицины, образования, питания, воды и жилья следует планировать как обязательные уровни жизнеобеспечения, а не как добровольные услуги оператора.</w:t>
      </w:r>
    </w:p>
    <w:p>
      <w:pPr>
        <w:pStyle w:val="Heading2"/>
        <w:keepNext/>
        <w:pageBreakBefore w:val="0"/>
        <w:spacing w:after="40"/>
      </w:pPr>
      <w:r>
        <w:rPr>
          <w:rFonts w:ascii="Times New Roman" w:hAnsi="Times New Roman" w:eastAsia="Times New Roman"/>
          <w:b/>
          <w:i w:val="0"/>
          <w:color w:val="2F5D83"/>
          <w:sz w:val="25"/>
        </w:rPr>
        <w:t>17.6. Семьи, дети, миграция и демография</w:t>
      </w:r>
    </w:p>
    <w:p>
      <w:pPr>
        <w:pageBreakBefore w:val="0"/>
        <w:spacing w:after="80" w:line="269" w:lineRule="auto"/>
        <w:ind w:firstLine="397"/>
      </w:pPr>
      <w:r>
        <w:rPr>
          <w:rFonts w:ascii="Times New Roman" w:hAnsi="Times New Roman" w:eastAsia="Times New Roman"/>
          <w:b w:val="0"/>
          <w:i w:val="0"/>
          <w:color w:val="20252B"/>
          <w:sz w:val="20"/>
        </w:rPr>
        <w:t>Постоянное население меняет правовую модель станции: возникают рождение, усыновление, опека, наследование, семейное имущество и защита ребёнка. До международного соглашения о статусе станции эти вопросы должны быть привязаны к признанному государству гражданства или регистрации, а локальные акты не должны создавать безгражданство или лишать ребёнка права на регистрацию рождения.</w:t>
      </w:r>
    </w:p>
    <w:p>
      <w:pPr>
        <w:pageBreakBefore w:val="0"/>
        <w:spacing w:after="80" w:line="269" w:lineRule="auto"/>
        <w:ind w:firstLine="397"/>
      </w:pPr>
      <w:r>
        <w:rPr>
          <w:rFonts w:ascii="Times New Roman" w:hAnsi="Times New Roman" w:eastAsia="Times New Roman"/>
          <w:b w:val="0"/>
          <w:i w:val="0"/>
          <w:color w:val="20252B"/>
          <w:sz w:val="20"/>
        </w:rPr>
        <w:t>Приём новых жителей должен включать медицинское и психологическое обследование без дискриминации, проверку квалификаций, обучение правилам безопасности, порядок предоставления жилья и понятные условия возвращения или переселения. Демографическое планирование не может превращаться в принудительный контроль репродукции; допустимы только добровольные медицинские рекомендации и обоснованные ограничения, связанные с реальными рисками для матери и ребёнка.</w:t>
      </w:r>
    </w:p>
    <w:p>
      <w:pPr>
        <w:pStyle w:val="Heading2"/>
        <w:keepNext/>
        <w:pageBreakBefore w:val="0"/>
        <w:spacing w:after="40"/>
      </w:pPr>
      <w:r>
        <w:rPr>
          <w:rFonts w:ascii="Times New Roman" w:hAnsi="Times New Roman" w:eastAsia="Times New Roman"/>
          <w:b/>
          <w:i w:val="0"/>
          <w:color w:val="2F5D83"/>
          <w:sz w:val="25"/>
        </w:rPr>
        <w:t>17.7. Данные, приватность и цифровая идентичность</w:t>
      </w:r>
    </w:p>
    <w:p>
      <w:pPr>
        <w:pageBreakBefore w:val="0"/>
        <w:spacing w:after="80" w:line="269" w:lineRule="auto"/>
        <w:ind w:firstLine="397"/>
      </w:pPr>
      <w:r>
        <w:rPr>
          <w:rFonts w:ascii="Times New Roman" w:hAnsi="Times New Roman" w:eastAsia="Times New Roman"/>
          <w:b w:val="0"/>
          <w:i w:val="0"/>
          <w:color w:val="20252B"/>
          <w:sz w:val="20"/>
        </w:rPr>
        <w:t>Станция неизбежно собирает данные доступа, медицинские записи, биометрические признаки, сведения о перемещениях и телеметрию критических систем. Нужны минимизация собираемых данных, разграничение ролей, журналирование доступа, сроки хранения, право исправления записи, процедура экстренного доступа к медицинским данным и независимая проверка использования биометрии. Данные о здоровье и детях должны иметь повышенный уровень защиты.</w:t>
      </w:r>
    </w:p>
    <w:p>
      <w:pPr>
        <w:pStyle w:val="Heading2"/>
        <w:keepNext/>
        <w:pageBreakBefore w:val="0"/>
        <w:spacing w:after="40"/>
      </w:pPr>
      <w:r>
        <w:rPr>
          <w:rFonts w:ascii="Times New Roman" w:hAnsi="Times New Roman" w:eastAsia="Times New Roman"/>
          <w:b/>
          <w:i w:val="0"/>
          <w:color w:val="2F5D83"/>
          <w:sz w:val="25"/>
        </w:rPr>
        <w:t>17.8. Оружие, принуждение и аварийные полномочия</w:t>
      </w:r>
    </w:p>
    <w:p>
      <w:pPr>
        <w:pageBreakBefore w:val="0"/>
        <w:spacing w:after="80" w:line="269" w:lineRule="auto"/>
        <w:ind w:firstLine="397"/>
      </w:pPr>
      <w:r>
        <w:rPr>
          <w:rFonts w:ascii="Times New Roman" w:hAnsi="Times New Roman" w:eastAsia="Times New Roman"/>
          <w:b w:val="0"/>
          <w:i w:val="0"/>
          <w:color w:val="20252B"/>
          <w:sz w:val="20"/>
        </w:rPr>
        <w:t>Постоянное вооружённое формирование на станции не следует считать частью текущего проекта. Средства принуждения, если они необходимы для защиты людей, должны быть минимальными, сертифицированными, учтёнными и доступными ограниченному числу подготовленных сотрудников. Их применение подлежит обязательной записи, медицинскому осмотру участников и последующему независимому расследованию.</w:t>
      </w:r>
    </w:p>
    <w:p>
      <w:pPr>
        <w:pageBreakBefore w:val="0"/>
        <w:spacing w:after="80" w:line="269" w:lineRule="auto"/>
        <w:ind w:firstLine="397"/>
      </w:pPr>
      <w:r>
        <w:rPr>
          <w:rFonts w:ascii="Times New Roman" w:hAnsi="Times New Roman" w:eastAsia="Times New Roman"/>
          <w:b w:val="0"/>
          <w:i w:val="0"/>
          <w:color w:val="20252B"/>
          <w:sz w:val="20"/>
        </w:rPr>
        <w:t>Аварийный руководитель может временно ограничить перемещение, доступ в зоны, использование оборудования и связь, но не получает неограниченной власти. Каждая мера должна иметь основание, время начала, срок действия, критерий отмены и порядок последующего контроля. Система аварийного управления из п. 11.11 должна быть связана с этими социально-правовыми ограничениями.</w:t>
      </w:r>
    </w:p>
    <w:p>
      <w:pPr>
        <w:pStyle w:val="Heading2"/>
        <w:keepNext/>
        <w:pageBreakBefore w:val="0"/>
        <w:spacing w:after="40"/>
      </w:pPr>
      <w:r>
        <w:rPr>
          <w:rFonts w:ascii="Times New Roman" w:hAnsi="Times New Roman" w:eastAsia="Times New Roman"/>
          <w:b/>
          <w:i w:val="0"/>
          <w:color w:val="2F5D83"/>
          <w:sz w:val="25"/>
        </w:rPr>
        <w:t>17.9. Открытые задачи социально-правовой системы</w:t>
      </w:r>
    </w:p>
    <w:p>
      <w:pPr>
        <w:pageBreakBefore w:val="0"/>
        <w:spacing w:after="80" w:line="269" w:lineRule="auto"/>
        <w:ind w:firstLine="397"/>
      </w:pPr>
      <w:r>
        <w:rPr>
          <w:rFonts w:ascii="Times New Roman" w:hAnsi="Times New Roman" w:eastAsia="Times New Roman"/>
          <w:b w:val="0"/>
          <w:i w:val="0"/>
          <w:color w:val="20252B"/>
          <w:sz w:val="20"/>
        </w:rPr>
        <w:t>Не оформлены: проект переходной хартии; структура службы общественной безопасности; матрица передачи уголовных и гражданских дел государству регистрации; правила применения силы; трудовой, жилищный и семейный кодексы; порядок регистрации рождения и смерти; система социального страхования; защита медицинских и биометрических данных; механизм выборного представительства; независимый инспектор и бюджет социального обеспечения. Эти вопросы являются обязательными условиями заселения и не могут считаться решёнными одной декларацией о будущей федерации.</w:t>
      </w:r>
    </w:p>
    <w:p>
      <w:pPr>
        <w:spacing w:before="200"/>
        <w:jc w:val="center"/>
      </w:pPr>
      <w:r>
        <w:rPr>
          <w:b/>
          <w:color w:val="2E5496"/>
          <w:sz w:val="17"/>
        </w:rPr>
        <w:t>ENGLISH EDITION</w:t>
      </w:r>
    </w:p>
    <w:p>
      <w:pPr>
        <w:pStyle w:val="Heading1"/>
        <w:keepNext/>
        <w:pageBreakBefore w:val="0"/>
        <w:spacing w:after="40"/>
      </w:pPr>
      <w:r>
        <w:rPr>
          <w:rFonts w:ascii="Times New Roman" w:hAnsi="Times New Roman" w:eastAsia="Times New Roman"/>
          <w:b w:val="0"/>
          <w:i w:val="0"/>
          <w:color w:val="20252B"/>
          <w:sz w:val="20"/>
        </w:rPr>
        <w:t>17. LAW ENFORCEMENT AND SOCIAL SYSTEM OF THE STATION</w:t>
      </w:r>
    </w:p>
    <w:p>
      <w:pPr>
        <w:pageBreakBefore w:val="0"/>
        <w:spacing w:after="80" w:line="269" w:lineRule="auto"/>
        <w:ind w:firstLine="397"/>
      </w:pPr>
      <w:r>
        <w:rPr>
          <w:rFonts w:ascii="Times New Roman" w:hAnsi="Times New Roman" w:eastAsia="Times New Roman"/>
          <w:b w:val="0"/>
          <w:i w:val="0"/>
          <w:color w:val="20252B"/>
          <w:sz w:val="20"/>
        </w:rPr>
        <w:t>This chapter closes the gap between the general legal model of Chapter 13 and the practical life of the resident population. It does not automatically create a state, police or court of the station: until a negotiated transition, the station remains a space object under the jurisdiction of the state of registration, and the author of the project is the initiator of a personal engineering development that does not replace the licensed operator. Below is the required management architecture and a list of issues that must be formalized in separate regulations, agreements and procedures.</w:t>
      </w:r>
    </w:p>
    <w:p>
      <w:pPr>
        <w:pStyle w:val="Heading2"/>
        <w:keepNext/>
        <w:pageBreakBefore w:val="0"/>
        <w:spacing w:after="40"/>
      </w:pPr>
      <w:r>
        <w:rPr>
          <w:rFonts w:ascii="Times New Roman" w:hAnsi="Times New Roman" w:eastAsia="Times New Roman"/>
          <w:b w:val="0"/>
          <w:i w:val="0"/>
          <w:color w:val="20252B"/>
          <w:sz w:val="20"/>
        </w:rPr>
        <w:t>17.1. Transition Management Status</w:t>
      </w:r>
    </w:p>
    <w:p>
      <w:pPr>
        <w:pageBreakBefore w:val="0"/>
        <w:spacing w:after="80" w:line="269" w:lineRule="auto"/>
        <w:ind w:firstLine="397"/>
      </w:pPr>
      <w:r>
        <w:rPr>
          <w:rFonts w:ascii="Times New Roman" w:hAnsi="Times New Roman" w:eastAsia="Times New Roman"/>
          <w:b w:val="0"/>
          <w:i w:val="0"/>
          <w:color w:val="20252B"/>
          <w:sz w:val="20"/>
        </w:rPr>
        <w:t>At the first stage, the operator administration of the station operates. Its powers arise from the operator's charter, agreement with the state of registration, permits for space activities and labor or civil contracts with the crew and residents. The administration does not have sovereignty over the station, asteroid or outer space and cannot declare internal rules equal to the laws of the state.</w:t>
      </w:r>
    </w:p>
    <w:p>
      <w:pPr>
        <w:pageBreakBefore w:val="0"/>
        <w:spacing w:after="80" w:line="269" w:lineRule="auto"/>
        <w:ind w:firstLine="397"/>
      </w:pPr>
      <w:r>
        <w:rPr>
          <w:rFonts w:ascii="Times New Roman" w:hAnsi="Times New Roman" w:eastAsia="Times New Roman"/>
          <w:b w:val="0"/>
          <w:i w:val="0"/>
          <w:color w:val="20252B"/>
          <w:sz w:val="20"/>
        </w:rPr>
        <w:t>At least four functions must be separated: operator and owner of the infrastructure; security and investigation authority; medical and social services; an independent inspector who receives complaints about the actions of the administration. The combination of exploitation, investigation of one's own violation and making a final decision on the complaint is not allowed without an independent review process.</w:t>
      </w:r>
    </w:p>
    <w:p>
      <w:pPr>
        <w:pStyle w:val="Heading2"/>
        <w:keepNext/>
        <w:pageBreakBefore w:val="0"/>
        <w:spacing w:after="40"/>
      </w:pPr>
      <w:r>
        <w:rPr>
          <w:rFonts w:ascii="Times New Roman" w:hAnsi="Times New Roman" w:eastAsia="Times New Roman"/>
          <w:b w:val="0"/>
          <w:i w:val="0"/>
          <w:color w:val="20252B"/>
          <w:sz w:val="20"/>
        </w:rPr>
        <w:t>17.2. Law Enforcement, Investigation and Physical Security</w:t>
      </w:r>
    </w:p>
    <w:p>
      <w:pPr>
        <w:pageBreakBefore w:val="0"/>
        <w:spacing w:after="80" w:line="269" w:lineRule="auto"/>
        <w:ind w:firstLine="397"/>
      </w:pPr>
      <w:r>
        <w:rPr>
          <w:rFonts w:ascii="Times New Roman" w:hAnsi="Times New Roman" w:eastAsia="Times New Roman"/>
          <w:b w:val="0"/>
          <w:i w:val="0"/>
          <w:color w:val="20252B"/>
          <w:sz w:val="20"/>
        </w:rPr>
        <w:t>The station needs a small professional public security service, subordinate not to one shift supervisor, but to an approved regulation with a double line of accountability. Its tasks: prevention of violence and sabotage, protection of people and critical automation, protection of incident sites, primary collection of evidence, access control and assistance during evacuation. It does not replace state authorities and does not acquire the right to use force outside the established jurisdiction.</w:t>
      </w:r>
    </w:p>
    <w:p>
      <w:pPr>
        <w:pageBreakBefore w:val="0"/>
        <w:spacing w:after="80" w:line="269" w:lineRule="auto"/>
        <w:ind w:firstLine="397"/>
      </w:pPr>
      <w:r>
        <w:rPr>
          <w:rFonts w:ascii="Times New Roman" w:hAnsi="Times New Roman" w:eastAsia="Times New Roman"/>
          <w:b w:val="0"/>
          <w:i w:val="0"/>
          <w:color w:val="20252B"/>
          <w:sz w:val="20"/>
        </w:rPr>
        <w:t>For each incident, the time, location, state of systems, personnel actions, video data and chain of custody of evidence must be recorded. The technical investigation of the accident must be separated from the criminal or disciplinary conclusion: failure of the automation cannot automatically be declared the fault of the operator. Prohibition of arbitrariness, registration of detention, access to medical care and immediate notification of an authorized external authority are mandatory in cases provided for by applicable law.</w:t>
      </w:r>
    </w:p>
    <w:p>
      <w:pPr>
        <w:pStyle w:val="Heading2"/>
        <w:keepNext/>
        <w:pageBreakBefore w:val="0"/>
        <w:spacing w:after="40"/>
      </w:pPr>
      <w:r>
        <w:rPr>
          <w:rFonts w:ascii="Times New Roman" w:hAnsi="Times New Roman" w:eastAsia="Times New Roman"/>
          <w:b w:val="0"/>
          <w:i w:val="0"/>
          <w:color w:val="20252B"/>
          <w:sz w:val="20"/>
        </w:rPr>
        <w:t>17.3. Judicial and extrajudicial procedures</w:t>
      </w:r>
    </w:p>
    <w:p>
      <w:pPr>
        <w:pageBreakBefore w:val="0"/>
        <w:spacing w:after="80" w:line="269" w:lineRule="auto"/>
        <w:ind w:firstLine="397"/>
      </w:pPr>
      <w:r>
        <w:rPr>
          <w:rFonts w:ascii="Times New Roman" w:hAnsi="Times New Roman" w:eastAsia="Times New Roman"/>
          <w:b w:val="0"/>
          <w:i w:val="0"/>
          <w:color w:val="20252B"/>
          <w:sz w:val="20"/>
        </w:rPr>
        <w:t>Before the creation of contractual autonomy, disputes are resolved according to the law of the state of registration, Russian law within the competence of the Russian operator and the terms of the contract with the resident. For small domestic disputes, a mediator or conciliation commission is needed; for labor, property and disciplinary disputes - a written procedure with a reasoned decision and a period for appeal; for serious acts - transfer of the case to the competent government agency, unless otherwise established by international agreement.</w:t>
      </w:r>
    </w:p>
    <w:p>
      <w:pPr>
        <w:pageBreakBefore w:val="0"/>
        <w:spacing w:after="80" w:line="269" w:lineRule="auto"/>
        <w:ind w:firstLine="397"/>
      </w:pPr>
      <w:r>
        <w:rPr>
          <w:rFonts w:ascii="Times New Roman" w:hAnsi="Times New Roman" w:eastAsia="Times New Roman"/>
          <w:b w:val="0"/>
          <w:i w:val="0"/>
          <w:color w:val="20252B"/>
          <w:sz w:val="20"/>
        </w:rPr>
        <w:t>The station's temporary charter should enshrine the presumption of innocence, the right to know the charge, the right to representation, the prohibition of punishment without due process, the prohibition of double punishment for one act and the duty to preserve evidence. Any domestic “emergency jurisdiction” must have a limited duration, a list of reasons, and subsequent independent review.</w:t>
      </w:r>
    </w:p>
    <w:p>
      <w:pPr>
        <w:pStyle w:val="Heading2"/>
        <w:keepNext/>
        <w:pageBreakBefore w:val="0"/>
        <w:spacing w:after="40"/>
      </w:pPr>
      <w:r>
        <w:rPr>
          <w:rFonts w:ascii="Times New Roman" w:hAnsi="Times New Roman" w:eastAsia="Times New Roman"/>
          <w:b w:val="0"/>
          <w:i w:val="0"/>
          <w:color w:val="20252B"/>
          <w:sz w:val="20"/>
        </w:rPr>
        <w:t>17.4. Rights, obligations and guarantees of residents</w:t>
      </w:r>
    </w:p>
    <w:p>
      <w:pPr>
        <w:pageBreakBefore w:val="0"/>
        <w:spacing w:after="80" w:line="269" w:lineRule="auto"/>
        <w:ind w:firstLine="397"/>
      </w:pPr>
      <w:r>
        <w:rPr>
          <w:rFonts w:ascii="Times New Roman" w:hAnsi="Times New Roman" w:eastAsia="Times New Roman"/>
          <w:b w:val="0"/>
          <w:i w:val="0"/>
          <w:color w:val="20252B"/>
          <w:sz w:val="20"/>
        </w:rPr>
        <w:t>The basic catalog of rights includes life and physical integrity, medical care, safe working and living conditions, connection to the Earth, protection of privacy, freedom of conscience and expression within the limits of security, access to a grievance procedure, and protection from discrimination. The operator is obliged to publish rules that limit these rights and indicate what kind of danger justifies the restriction.</w:t>
      </w:r>
    </w:p>
    <w:p>
      <w:pPr>
        <w:pageBreakBefore w:val="0"/>
        <w:spacing w:after="80" w:line="269" w:lineRule="auto"/>
        <w:ind w:firstLine="397"/>
      </w:pPr>
      <w:r>
        <w:rPr>
          <w:rFonts w:ascii="Times New Roman" w:hAnsi="Times New Roman" w:eastAsia="Times New Roman"/>
          <w:b w:val="0"/>
          <w:i w:val="0"/>
          <w:color w:val="20252B"/>
          <w:sz w:val="20"/>
        </w:rPr>
        <w:t>Residents' responsibilities include following safety regulations, participating in mandatory emergency preparedness, reporting imminent threats, preserving critical infrastructure, and following lawful evacuation orders. Forced labor as a permanent form of supplying the station is unacceptable; Emergency duties must be limited by time, necessity and medical contraindications.</w:t>
      </w:r>
    </w:p>
    <w:p>
      <w:pPr>
        <w:pStyle w:val="Heading2"/>
        <w:keepNext/>
        <w:pageBreakBefore w:val="0"/>
        <w:spacing w:after="40"/>
      </w:pPr>
      <w:r>
        <w:rPr>
          <w:rFonts w:ascii="Times New Roman" w:hAnsi="Times New Roman" w:eastAsia="Times New Roman"/>
          <w:b w:val="0"/>
          <w:i w:val="0"/>
          <w:color w:val="20252B"/>
          <w:sz w:val="20"/>
        </w:rPr>
        <w:t>17.5. Labor, housing, education, medicine and social security</w:t>
      </w:r>
    </w:p>
    <w:p>
      <w:pPr>
        <w:pageBreakBefore w:val="0"/>
        <w:spacing w:after="80" w:line="269" w:lineRule="auto"/>
        <w:ind w:firstLine="397"/>
      </w:pPr>
      <w:r>
        <w:rPr>
          <w:rFonts w:ascii="Times New Roman" w:hAnsi="Times New Roman" w:eastAsia="Times New Roman"/>
          <w:b w:val="0"/>
          <w:i w:val="0"/>
          <w:color w:val="20252B"/>
          <w:sz w:val="20"/>
        </w:rPr>
        <w:t>The operating model must contain the plant labor code: shift lengths, rest, exposure to radiation and noise, access to critical systems, training, investigation of work-related injuries, payment or other equivalent compensation, and procedures for refusing hazardous work when there is an immediate threat to life. Housing cannot be at the same time a workplace without taking into account the right to rest and personal space.</w:t>
      </w:r>
    </w:p>
    <w:p>
      <w:pPr>
        <w:pageBreakBefore w:val="0"/>
        <w:spacing w:after="80" w:line="269" w:lineRule="auto"/>
        <w:ind w:firstLine="397"/>
      </w:pPr>
      <w:r>
        <w:rPr>
          <w:rFonts w:ascii="Times New Roman" w:hAnsi="Times New Roman" w:eastAsia="Times New Roman"/>
          <w:b w:val="0"/>
          <w:i w:val="0"/>
          <w:color w:val="20252B"/>
          <w:sz w:val="20"/>
        </w:rPr>
        <w:t>The social system should include primary and specialized medicine, psychological care, disability, temporary incapacity for work, pension and insurance mechanisms, education for children and adults, cultural institutions and assistance for the loss of a breadwinner. Indicators of access to medicine, education, food, water and housing should be planned as mandatory levels of life support, and not as voluntary operator services.</w:t>
      </w:r>
    </w:p>
    <w:p>
      <w:pPr>
        <w:pStyle w:val="Heading2"/>
        <w:keepNext/>
        <w:pageBreakBefore w:val="0"/>
        <w:spacing w:after="40"/>
      </w:pPr>
      <w:r>
        <w:rPr>
          <w:rFonts w:ascii="Times New Roman" w:hAnsi="Times New Roman" w:eastAsia="Times New Roman"/>
          <w:b w:val="0"/>
          <w:i w:val="0"/>
          <w:color w:val="20252B"/>
          <w:sz w:val="20"/>
        </w:rPr>
        <w:t>17.6. Families, children, migration and demography</w:t>
      </w:r>
    </w:p>
    <w:p>
      <w:pPr>
        <w:pageBreakBefore w:val="0"/>
        <w:spacing w:after="80" w:line="269" w:lineRule="auto"/>
        <w:ind w:firstLine="397"/>
      </w:pPr>
      <w:r>
        <w:rPr>
          <w:rFonts w:ascii="Times New Roman" w:hAnsi="Times New Roman" w:eastAsia="Times New Roman"/>
          <w:b w:val="0"/>
          <w:i w:val="0"/>
          <w:color w:val="20252B"/>
          <w:sz w:val="20"/>
        </w:rPr>
        <w:t>The permanent population changes the legal model of the station: birth, adoption, guardianship, inheritance, family property and child protection arise. Pending an international agreement on station status, these issues must be tied to the recognized state of citizenship or registration, and local acts must not create statelessness or deprive the child of the right to birth registration.</w:t>
      </w:r>
    </w:p>
    <w:p>
      <w:pPr>
        <w:pageBreakBefore w:val="0"/>
        <w:spacing w:after="80" w:line="269" w:lineRule="auto"/>
        <w:ind w:firstLine="397"/>
      </w:pPr>
      <w:r>
        <w:rPr>
          <w:rFonts w:ascii="Times New Roman" w:hAnsi="Times New Roman" w:eastAsia="Times New Roman"/>
          <w:b w:val="0"/>
          <w:i w:val="0"/>
          <w:color w:val="20252B"/>
          <w:sz w:val="20"/>
        </w:rPr>
        <w:t>Acceptance of new residents should include medical and psychological examinations without discrimination, verification of qualifications, safety training, housing procedures and clear conditions for return or relocation. Demographic planning cannot turn into forced control of reproduction; Only voluntary medical recommendations and reasonable restrictions associated with real risks for the mother and child are acceptable.</w:t>
      </w:r>
    </w:p>
    <w:p>
      <w:pPr>
        <w:pStyle w:val="Heading2"/>
        <w:keepNext/>
        <w:pageBreakBefore w:val="0"/>
        <w:spacing w:after="40"/>
      </w:pPr>
      <w:r>
        <w:rPr>
          <w:rFonts w:ascii="Times New Roman" w:hAnsi="Times New Roman" w:eastAsia="Times New Roman"/>
          <w:b w:val="0"/>
          <w:i w:val="0"/>
          <w:color w:val="20252B"/>
          <w:sz w:val="20"/>
        </w:rPr>
        <w:t>17.7. Data, privacy and digital identity</w:t>
      </w:r>
    </w:p>
    <w:p>
      <w:pPr>
        <w:pageBreakBefore w:val="0"/>
        <w:spacing w:after="80" w:line="269" w:lineRule="auto"/>
        <w:ind w:firstLine="397"/>
      </w:pPr>
      <w:r>
        <w:rPr>
          <w:rFonts w:ascii="Times New Roman" w:hAnsi="Times New Roman" w:eastAsia="Times New Roman"/>
          <w:b w:val="0"/>
          <w:i w:val="0"/>
          <w:color w:val="20252B"/>
          <w:sz w:val="20"/>
        </w:rPr>
        <w:t>The station inevitably collects access data, medical records, biometrics, movement data and telemetry from critical systems. Minimization of collected data, differentiation of roles, logging of access, retention periods, the right to correct records, a procedure for emergency access to medical data and independent verification of the use of biometrics are needed. Data about health and children should have an increased level of protection.</w:t>
      </w:r>
    </w:p>
    <w:p>
      <w:pPr>
        <w:pStyle w:val="Heading2"/>
        <w:keepNext/>
        <w:pageBreakBefore w:val="0"/>
        <w:spacing w:after="40"/>
      </w:pPr>
      <w:r>
        <w:rPr>
          <w:rFonts w:ascii="Times New Roman" w:hAnsi="Times New Roman" w:eastAsia="Times New Roman"/>
          <w:b w:val="0"/>
          <w:i w:val="0"/>
          <w:color w:val="20252B"/>
          <w:sz w:val="20"/>
        </w:rPr>
        <w:t>17.8. Weapons, coercion and emergency powers</w:t>
      </w:r>
    </w:p>
    <w:p>
      <w:pPr>
        <w:pageBreakBefore w:val="0"/>
        <w:spacing w:after="80" w:line="269" w:lineRule="auto"/>
        <w:ind w:firstLine="397"/>
      </w:pPr>
      <w:r>
        <w:rPr>
          <w:rFonts w:ascii="Times New Roman" w:hAnsi="Times New Roman" w:eastAsia="Times New Roman"/>
          <w:b w:val="0"/>
          <w:i w:val="0"/>
          <w:color w:val="20252B"/>
          <w:sz w:val="20"/>
        </w:rPr>
        <w:t>A permanent armed force at the station should not be considered part of the ongoing project. Coercive means, if necessary to protect people, must be minimal, certified, accounted for, and available to a limited number of trained personnel. Their use is subject to mandatory recording, medical examination of participants and subsequent independent investigation.</w:t>
      </w:r>
    </w:p>
    <w:p>
      <w:pPr>
        <w:pageBreakBefore w:val="0"/>
        <w:spacing w:after="80" w:line="269" w:lineRule="auto"/>
        <w:ind w:firstLine="397"/>
      </w:pPr>
      <w:r>
        <w:rPr>
          <w:rFonts w:ascii="Times New Roman" w:hAnsi="Times New Roman" w:eastAsia="Times New Roman"/>
          <w:b w:val="0"/>
          <w:i w:val="0"/>
          <w:color w:val="20252B"/>
          <w:sz w:val="20"/>
        </w:rPr>
        <w:t>The emergency commander can temporarily restrict movement, access to areas, use of equipment, and communications, but does not receive unlimited power. Each measure must have a basis, start time, validity period, cancellation criteria and follow-up procedures. The emergency management system from clause 11.11 must be associated with these socio-legal restrictions.</w:t>
      </w:r>
    </w:p>
    <w:p>
      <w:pPr>
        <w:pStyle w:val="Heading2"/>
        <w:keepNext/>
        <w:pageBreakBefore w:val="0"/>
        <w:spacing w:after="40"/>
      </w:pPr>
      <w:r>
        <w:rPr>
          <w:rFonts w:ascii="Times New Roman" w:hAnsi="Times New Roman" w:eastAsia="Times New Roman"/>
          <w:b w:val="0"/>
          <w:i w:val="0"/>
          <w:color w:val="20252B"/>
          <w:sz w:val="20"/>
        </w:rPr>
        <w:t>17.9. Open tasks of the socio-legal system</w:t>
      </w:r>
    </w:p>
    <w:p>
      <w:pPr>
        <w:pageBreakBefore w:val="0"/>
        <w:spacing w:after="80" w:line="269" w:lineRule="auto"/>
        <w:ind w:firstLine="397"/>
      </w:pPr>
      <w:r>
        <w:rPr>
          <w:rFonts w:ascii="Times New Roman" w:hAnsi="Times New Roman" w:eastAsia="Times New Roman"/>
          <w:b w:val="0"/>
          <w:i w:val="0"/>
          <w:color w:val="20252B"/>
          <w:sz w:val="20"/>
        </w:rPr>
        <w:t>Not completed: draft transitional charter; structure of the public security service; matrix for the transfer of criminal and civil cases to the state of registration; rules of use of force; labor, housing and family codes; procedure for registering births and deaths; social insurance system; protection of medical and biometric data; mechanism of elected representation; the independent inspector and the social security budget. These questions are mandatory conditions for settlement and cannot be considered resolved by a single declaration of a future federation.</w:t>
      </w:r>
    </w:p>
    <w:p/>
    <w:p>
      <w:pPr>
        <w:spacing w:before="200"/>
        <w:jc w:val="center"/>
      </w:pPr>
      <w:r>
        <w:rPr>
          <w:b/>
          <w:color w:val="2E5496"/>
          <w:sz w:val="17"/>
        </w:rPr>
        <w:t>СПИСОК ЛИТЕРАТУРЫ РАЗДЕЛА / REFERENCES OF THIS SECTION</w:t>
      </w:r>
    </w:p>
    <w:p>
      <w:pPr>
        <w:ind w:left="340" w:hanging="340"/>
      </w:pPr>
      <w:r>
        <w:rPr>
          <w:sz w:val="18"/>
        </w:rPr>
        <w:t>1. Договор о принципах деятельности государств по исследованию и использованию космического пространства, включая Луну и другие небесные тела. 27 января 1967 г. Статьи II, VI, VIII.</w:t>
      </w:r>
    </w:p>
    <w:p>
      <w:pPr>
        <w:ind w:left="340" w:hanging="340"/>
      </w:pPr>
      <w:r>
        <w:rPr>
          <w:sz w:val="18"/>
        </w:rPr>
        <w:t>1. Treaty on Principles Governing the Activities of States in the Exploration and Use of Outer Space, including the Moon and Other Celestial Bodies. 27 January 1967. Articles II, VI, VIII.</w:t>
      </w:r>
    </w:p>
    <w:p>
      <w:r>
        <w:rPr>
          <w:b/>
          <w:sz w:val="18"/>
        </w:rPr>
        <w:t>Кроме того, раздел опирается на собственные допущения публикации:</w:t>
      </w:r>
    </w:p>
    <w:p>
      <w:pPr>
        <w:ind w:left="340" w:hanging="340"/>
      </w:pPr>
      <w:r>
        <w:rPr>
          <w:sz w:val="18"/>
        </w:rPr>
        <w:t>· Правовые акты: Договор о принципах деятельности государств по исследованию и использованию космического пространства, 1967 г., ст. II, VI, VIII.</w:t>
      </w:r>
    </w:p>
    <w:p>
      <w:pPr>
        <w:ind w:left="340" w:hanging="340"/>
      </w:pPr>
      <w:r>
        <w:rPr>
          <w:sz w:val="18"/>
        </w:rPr>
        <w:t>· Legal acts: Outer Space Treaty, 1967, Articles II, VI, VIII.</w:t>
      </w:r>
    </w:p>
    <w:p>
      <w:pPr>
        <w:ind w:left="340" w:hanging="340"/>
      </w:pPr>
      <w:r>
        <w:rPr>
          <w:sz w:val="18"/>
        </w:rPr>
        <w:t>· Правовой статус: разделы о праве и управлении описывают сценарии и ограничения.</w:t>
      </w:r>
    </w:p>
    <w:p>
      <w:pPr>
        <w:ind w:left="340" w:hanging="340"/>
      </w:pPr>
      <w:r>
        <w:rPr>
          <w:sz w:val="18"/>
        </w:rPr>
        <w:t>· Legal status: the law and governance sections describe scenarios and constraints.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