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18 / Section 18</w:t>
      </w:r>
    </w:p>
    <w:p>
      <w:pPr>
        <w:jc w:val="center"/>
      </w:pPr>
      <w:r>
        <w:rPr>
          <w:b/>
          <w:color w:val="1F3864"/>
          <w:sz w:val="26"/>
        </w:rPr>
        <w:t>18. ЯДЕРНАЯ И ТЕРМОЯДЕРНАЯ ЭНЕРГЕТИКА, ТОПЛИВНЫЙ ЦИКЛ И РАДИОАКТИВНЫЕ ОТХОДЫ</w:t>
      </w:r>
    </w:p>
    <w:p>
      <w:pPr>
        <w:jc w:val="center"/>
      </w:pPr>
      <w:r>
        <w:rPr>
          <w:b/>
          <w:color w:val="1F3864"/>
          <w:sz w:val="26"/>
        </w:rPr>
        <w:t>18. NUCLEAR AND THERMONUCLEAR ENERGY, FUEL CYCLE AND RADIOACTIVE WASTE</w:t>
      </w:r>
    </w:p>
    <w:p>
      <w:pPr>
        <w:jc w:val="center"/>
      </w:pPr>
      <w:r>
        <w:rPr>
          <w:i/>
          <w:sz w:val="17"/>
        </w:rPr>
        <w:t>Редакция 8 · 31 октября 2026 г.  ·  документ 20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pPr>
      <w:r>
        <w:rPr>
          <w:rFonts w:ascii="Times New Roman" w:hAnsi="Times New Roman" w:eastAsia="Times New Roman"/>
          <w:b/>
          <w:i w:val="0"/>
          <w:color w:val="1F3A5F"/>
          <w:sz w:val="30"/>
        </w:rPr>
        <w:t>18. ЯДЕРНАЯ И ТЕРМОЯДЕРНАЯ ЭНЕРГЕТИКА, ТОПЛИВНЫЙ ЦИКЛ И РАДИОАКТИВНЫЕ ОТХОДЫ</w:t>
      </w:r>
    </w:p>
    <w:p>
      <w:pPr>
        <w:pageBreakBefore w:val="0"/>
        <w:spacing w:after="80" w:line="269" w:lineRule="auto"/>
        <w:ind w:firstLine="397"/>
      </w:pPr>
      <w:r>
        <w:rPr>
          <w:rFonts w:ascii="Times New Roman" w:hAnsi="Times New Roman" w:eastAsia="Times New Roman"/>
          <w:b w:val="0"/>
          <w:i w:val="0"/>
          <w:color w:val="20252B"/>
          <w:sz w:val="20"/>
        </w:rPr>
        <w:t>Проект использует термоядерные D–T установки. Наличие трития, нейтронного потока и активируемых конструкций создаёт ядерно-радиологический контур; настоящая глава формулирует требования и задачи квалификации, но не заменяет демонстрацию реактора указанной мощности.</w:t>
      </w:r>
    </w:p>
    <w:p>
      <w:pPr>
        <w:pStyle w:val="Heading2"/>
        <w:keepNext/>
        <w:pageBreakBefore w:val="0"/>
        <w:spacing w:after="40"/>
      </w:pPr>
      <w:r>
        <w:rPr>
          <w:rFonts w:ascii="Times New Roman" w:hAnsi="Times New Roman" w:eastAsia="Times New Roman"/>
          <w:b/>
          <w:i w:val="0"/>
          <w:color w:val="2F5D83"/>
          <w:sz w:val="25"/>
        </w:rPr>
        <w:t>18.1. Границы текущего проекта и терминология</w:t>
      </w:r>
    </w:p>
    <w:p>
      <w:pPr>
        <w:pageBreakBefore w:val="0"/>
        <w:spacing w:after="80" w:line="269" w:lineRule="auto"/>
        <w:ind w:firstLine="397"/>
      </w:pPr>
      <w:r>
        <w:rPr>
          <w:rFonts w:ascii="Times New Roman" w:hAnsi="Times New Roman" w:eastAsia="Times New Roman"/>
          <w:b w:val="0"/>
          <w:i w:val="0"/>
          <w:color w:val="20252B"/>
          <w:sz w:val="20"/>
        </w:rPr>
        <w:t>В проекте не предусмотрены урановый или плутониевый топливный цикл, обогащение, изготовление тепловыделяющих сборок, бассейны выдержки и переработка отработавшего ядерного топлива. Текущая схема должна называться термоядерной только при сохранении D–T реакции и отдельной проверки всех её топливных, радиационных и регуляторных последствий. Если позднее появится делящийся реактор, этот документ перестанет описывать полный энергетический контур без отдельной ядерной программы.</w:t>
      </w:r>
    </w:p>
    <w:p>
      <w:pPr>
        <w:pStyle w:val="Heading2"/>
        <w:keepNext/>
        <w:pageBreakBefore w:val="0"/>
        <w:spacing w:after="40"/>
      </w:pPr>
      <w:r>
        <w:rPr>
          <w:rFonts w:ascii="Times New Roman" w:hAnsi="Times New Roman" w:eastAsia="Times New Roman"/>
          <w:b/>
          <w:i w:val="0"/>
          <w:color w:val="2F5D83"/>
          <w:sz w:val="25"/>
        </w:rPr>
        <w:t>18.2. Топливный цикл D–T</w:t>
      </w:r>
    </w:p>
    <w:p>
      <w:pPr>
        <w:pageBreakBefore w:val="0"/>
        <w:spacing w:after="80" w:line="269" w:lineRule="auto"/>
        <w:ind w:firstLine="397"/>
      </w:pPr>
      <w:r>
        <w:rPr>
          <w:rFonts w:ascii="Times New Roman" w:hAnsi="Times New Roman" w:eastAsia="Times New Roman"/>
          <w:b w:val="0"/>
          <w:i w:val="0"/>
          <w:color w:val="20252B"/>
          <w:sz w:val="20"/>
        </w:rPr>
        <w:t>Пункт 4.13.9 содержит предварительную оценку расхода дейтерий-тритиевого топлива, но не описывает производство, извлечение, очистку, изотопное разделение, хранение, дозирование и возврат топлива. Дейтерий может быть извлечён из воды, но доступность трития не следует считать естественно обеспеченной: необходимы замкнутый контур его возврата и подтверждённая схема наработки в литиевом бланкете или иной лицензируемой системе.</w:t>
      </w:r>
    </w:p>
    <w:p>
      <w:pPr>
        <w:pageBreakBefore w:val="0"/>
        <w:spacing w:after="80" w:line="269" w:lineRule="auto"/>
        <w:ind w:firstLine="397"/>
      </w:pPr>
      <w:r>
        <w:rPr>
          <w:rFonts w:ascii="Times New Roman" w:hAnsi="Times New Roman" w:eastAsia="Times New Roman"/>
          <w:b w:val="0"/>
          <w:i w:val="0"/>
          <w:color w:val="20252B"/>
          <w:sz w:val="20"/>
        </w:rPr>
        <w:t>Для каждого грамма трития должны существовать материальный баланс, двойная оболочка, система обнаружения утечки, детритизация воздуха и воды, контроль загрязнения поверхностей, аварийные ёмкости и порядок передачи данных надзорному органу. Значение расхода топлива и доля воспроизводства трития остаются предварительными и не могут использоваться как принятые характеристики энергетической установки до стендовых испытаний.</w:t>
      </w:r>
    </w:p>
    <w:p>
      <w:pPr>
        <w:pStyle w:val="Heading2"/>
        <w:keepNext/>
        <w:pageBreakBefore w:val="0"/>
        <w:spacing w:after="40"/>
      </w:pPr>
      <w:r>
        <w:rPr>
          <w:rFonts w:ascii="Times New Roman" w:hAnsi="Times New Roman" w:eastAsia="Times New Roman"/>
          <w:b/>
          <w:i w:val="0"/>
          <w:color w:val="2F5D83"/>
          <w:sz w:val="25"/>
        </w:rPr>
        <w:t>18.3. Нейтронный поток, активация и радиационная защита</w:t>
      </w:r>
    </w:p>
    <w:p>
      <w:pPr>
        <w:pageBreakBefore w:val="0"/>
        <w:spacing w:after="80" w:line="269" w:lineRule="auto"/>
        <w:ind w:firstLine="397"/>
      </w:pPr>
      <w:r>
        <w:rPr>
          <w:rFonts w:ascii="Times New Roman" w:hAnsi="Times New Roman" w:eastAsia="Times New Roman"/>
          <w:b w:val="0"/>
          <w:i w:val="0"/>
          <w:color w:val="20252B"/>
          <w:sz w:val="20"/>
        </w:rPr>
        <w:t>D–T реакция создаёт быстрые нейтроны, которые активируют первую стенку, бланкет, магнитные элементы, конструкционные стали, теплообменники и инструменты обслуживания. Требуются расчёт нейтронного источника и дозовых полей, зонирование доступа, индивидуальная дозиметрия, дистанционное обслуживание, время выдержки после остановки, радиационная разведка и квалификация материалов по повреждению нейтронами.</w:t>
      </w:r>
    </w:p>
    <w:p>
      <w:pPr>
        <w:pageBreakBefore w:val="0"/>
        <w:spacing w:after="80" w:line="269" w:lineRule="auto"/>
        <w:ind w:firstLine="397"/>
      </w:pPr>
      <w:r>
        <w:rPr>
          <w:rFonts w:ascii="Times New Roman" w:hAnsi="Times New Roman" w:eastAsia="Times New Roman"/>
          <w:b w:val="0"/>
          <w:i w:val="0"/>
          <w:color w:val="20252B"/>
          <w:sz w:val="20"/>
        </w:rPr>
        <w:t>Защитный расчёт должен учитывать не только поток наружу, но и активацию самих элементов станции, вторичное гамма-излучение, тритиевое загрязнение и сценарии неполного экранирования при ремонте. Расстояние до жилых зон, размещение реакторов, трассы обслуживания и аварийные двери должны быть проверены совместно с планом эвакуации, а не отдельным расчётом энергобаланса.</w:t>
      </w:r>
    </w:p>
    <w:p>
      <w:pPr>
        <w:pStyle w:val="Heading2"/>
        <w:keepNext/>
        <w:pageBreakBefore w:val="0"/>
        <w:spacing w:after="40"/>
      </w:pPr>
      <w:r>
        <w:rPr>
          <w:rFonts w:ascii="Times New Roman" w:hAnsi="Times New Roman" w:eastAsia="Times New Roman"/>
          <w:b/>
          <w:i w:val="0"/>
          <w:color w:val="2F5D83"/>
          <w:sz w:val="25"/>
        </w:rPr>
        <w:t>18.4. Потоки радиоактивных материалов и отходов</w:t>
      </w:r>
    </w:p>
    <w:p>
      <w:pPr>
        <w:pageBreakBefore w:val="0"/>
        <w:spacing w:after="80" w:line="269" w:lineRule="auto"/>
        <w:ind w:firstLine="397"/>
      </w:pPr>
      <w:r>
        <w:rPr>
          <w:rFonts w:ascii="Times New Roman" w:hAnsi="Times New Roman" w:eastAsia="Times New Roman"/>
          <w:b w:val="0"/>
          <w:i w:val="0"/>
          <w:color w:val="20252B"/>
          <w:sz w:val="20"/>
        </w:rPr>
        <w:t>К потенциальным потокам относятся активированные стали и сплавы, элементы первой стенки и бланкета, загрязнённые фильтры и сорбенты, тритиевая вода, газовые смеси, отработанные перчатки и средства защиты, ремонтные инструменты, образцы материалов и технологические растворы. Для каждого потока должны быть определены классификация, упаковка, измерение активности, временное хранение, маршрут перемещения и конечный способ обращения.</w:t>
      </w:r>
    </w:p>
    <w:p>
      <w:pPr>
        <w:pageBreakBefore w:val="0"/>
        <w:spacing w:after="80" w:line="269" w:lineRule="auto"/>
        <w:ind w:firstLine="397"/>
      </w:pPr>
      <w:r>
        <w:rPr>
          <w:rFonts w:ascii="Times New Roman" w:hAnsi="Times New Roman" w:eastAsia="Times New Roman"/>
          <w:b w:val="0"/>
          <w:i w:val="0"/>
          <w:color w:val="20252B"/>
          <w:sz w:val="20"/>
        </w:rPr>
        <w:t>В текущем проекте отсутствует подтверждённый путь вывоза или захоронения радиоактивных отходов. Выброс в космос, сброс в почву астероида или смешивание с обычными отходами не являются допустимыми решениями по умолчанию. Обращение с активированными материалами должно быть согласовано с государством разрешения, государством регистрации и применимыми международными обязательствами.</w:t>
      </w:r>
    </w:p>
    <w:p>
      <w:pPr>
        <w:pStyle w:val="Heading2"/>
        <w:keepNext/>
        <w:pageBreakBefore w:val="0"/>
        <w:spacing w:after="40"/>
      </w:pPr>
      <w:r>
        <w:rPr>
          <w:rFonts w:ascii="Times New Roman" w:hAnsi="Times New Roman" w:eastAsia="Times New Roman"/>
          <w:b/>
          <w:i w:val="0"/>
          <w:color w:val="2F5D83"/>
          <w:sz w:val="25"/>
        </w:rPr>
        <w:t>18.5. Хранение, транспортирование и аварийное реагирование</w:t>
      </w:r>
    </w:p>
    <w:p>
      <w:pPr>
        <w:pageBreakBefore w:val="0"/>
        <w:spacing w:after="80" w:line="269" w:lineRule="auto"/>
        <w:ind w:firstLine="397"/>
      </w:pPr>
      <w:r>
        <w:rPr>
          <w:rFonts w:ascii="Times New Roman" w:hAnsi="Times New Roman" w:eastAsia="Times New Roman"/>
          <w:b w:val="0"/>
          <w:i w:val="0"/>
          <w:color w:val="20252B"/>
          <w:sz w:val="20"/>
        </w:rPr>
        <w:t>На станции должны быть физически отделённые хранилища для трития, активированных компонентов и загрязнённых материалов, с контролем температуры, давления, герметичности, радиационного фона и доступа. Передача материалов между реактором, ремонтной зоной, складом и транспортным аппаратом должна сопровождаться паспортом партии и непрерывной цепочкой учёта.</w:t>
      </w:r>
    </w:p>
    <w:p>
      <w:pPr>
        <w:pageBreakBefore w:val="0"/>
        <w:spacing w:after="80" w:line="269" w:lineRule="auto"/>
        <w:ind w:firstLine="397"/>
      </w:pPr>
      <w:r>
        <w:rPr>
          <w:rFonts w:ascii="Times New Roman" w:hAnsi="Times New Roman" w:eastAsia="Times New Roman"/>
          <w:b w:val="0"/>
          <w:i w:val="0"/>
          <w:color w:val="20252B"/>
          <w:sz w:val="20"/>
        </w:rPr>
        <w:t>Аварийный план обязан охватывать утечку трития, отказ детритизации, повреждение бланкета, пожар в технической зоне, потерю охлаждения, ошибочное открытие радиационного шлюза, выброс в обитаемый объём и потерю связи с оператором. Для каждого сценария необходимы пороговые значения, автоматическое отключение, зона изоляции, средства защиты, медицинская сортировка и порядок уведомления надзорных органов.</w:t>
      </w:r>
    </w:p>
    <w:p>
      <w:pPr>
        <w:pStyle w:val="Heading2"/>
        <w:keepNext/>
        <w:pageBreakBefore w:val="0"/>
        <w:spacing w:after="40"/>
      </w:pPr>
      <w:r>
        <w:rPr>
          <w:rFonts w:ascii="Times New Roman" w:hAnsi="Times New Roman" w:eastAsia="Times New Roman"/>
          <w:b/>
          <w:i w:val="0"/>
          <w:color w:val="2F5D83"/>
          <w:sz w:val="25"/>
        </w:rPr>
        <w:t>18.6. Лицензирование, надзор и независимая приёмка</w:t>
      </w:r>
    </w:p>
    <w:p>
      <w:pPr>
        <w:pageBreakBefore w:val="0"/>
        <w:spacing w:after="80" w:line="269" w:lineRule="auto"/>
        <w:ind w:firstLine="397"/>
      </w:pPr>
      <w:r>
        <w:rPr>
          <w:rFonts w:ascii="Times New Roman" w:hAnsi="Times New Roman" w:eastAsia="Times New Roman"/>
          <w:b w:val="0"/>
          <w:i w:val="0"/>
          <w:color w:val="20252B"/>
          <w:sz w:val="20"/>
        </w:rPr>
        <w:t>Лицензирование должно быть привязано к фактически выбранной технологии: производство и хранение трития, работа с активируемыми материалами, радиационный контроль, транспортирование радиоактивных веществ и эксплуатация энергетической установки могут подпадать под разные режимы. Российский оператор не может заменить разрешения государства регистрации или международные обязательства одной внутренней инструкцией.</w:t>
      </w:r>
    </w:p>
    <w:p>
      <w:pPr>
        <w:pageBreakBefore w:val="0"/>
        <w:spacing w:after="80" w:line="269" w:lineRule="auto"/>
        <w:ind w:firstLine="397"/>
      </w:pPr>
      <w:r>
        <w:rPr>
          <w:rFonts w:ascii="Times New Roman" w:hAnsi="Times New Roman" w:eastAsia="Times New Roman"/>
          <w:b w:val="0"/>
          <w:i w:val="0"/>
          <w:color w:val="20252B"/>
          <w:sz w:val="20"/>
        </w:rPr>
        <w:t>До ввода реакторов в эксплуатацию нужны независимая ядерная и радиационная экспертиза, испытания защитных оболочек, проверка каналов отключения, квалификация материалов, программа дозиметрии, учёт ядерных и радиоактивных материалов, учения персонала и право инспектора остановить установку. Расчётная мощность 366 ГВт на реактор не является основанием для приёмки без экспериментальной базы и сертификационной программы.</w:t>
      </w:r>
    </w:p>
    <w:p>
      <w:pPr>
        <w:pStyle w:val="Heading2"/>
        <w:keepNext/>
        <w:pageBreakBefore w:val="0"/>
        <w:spacing w:after="40"/>
      </w:pPr>
      <w:r>
        <w:rPr>
          <w:rFonts w:ascii="Times New Roman" w:hAnsi="Times New Roman" w:eastAsia="Times New Roman"/>
          <w:b/>
          <w:i w:val="0"/>
          <w:color w:val="2F5D83"/>
          <w:sz w:val="25"/>
        </w:rPr>
        <w:t>18.7. Вывод из эксплуатации и передача ответственности</w:t>
      </w:r>
    </w:p>
    <w:p>
      <w:pPr>
        <w:pageBreakBefore w:val="0"/>
        <w:spacing w:after="80" w:line="269" w:lineRule="auto"/>
        <w:ind w:firstLine="397"/>
      </w:pPr>
      <w:r>
        <w:rPr>
          <w:rFonts w:ascii="Times New Roman" w:hAnsi="Times New Roman" w:eastAsia="Times New Roman"/>
          <w:b w:val="0"/>
          <w:i w:val="0"/>
          <w:color w:val="20252B"/>
          <w:sz w:val="20"/>
        </w:rPr>
        <w:t>План завершения эксплуатации должен включать остановку реакций, удаление или стабилизацию топлива, детритизацию контуров, выдержку активированных деталей, демонтаж с дистанционным управлением, классификацию отходов, очистку помещений, радиационное обследование и долговременный мониторинг. Ответственный оператор, государство разрешения и государство регистрации должны быть определены на каждом этапе.</w:t>
      </w:r>
    </w:p>
    <w:p>
      <w:pPr>
        <w:pageBreakBefore w:val="0"/>
        <w:spacing w:after="80" w:line="269" w:lineRule="auto"/>
        <w:ind w:firstLine="397"/>
      </w:pPr>
      <w:r>
        <w:rPr>
          <w:rFonts w:ascii="Times New Roman" w:hAnsi="Times New Roman" w:eastAsia="Times New Roman"/>
          <w:b w:val="0"/>
          <w:i w:val="0"/>
          <w:color w:val="20252B"/>
          <w:sz w:val="20"/>
        </w:rPr>
        <w:t>Если станция передаётся новому оператору, вместе с инфраструктурой передаются паспорта материалов, дозовые карты, история утечек, реестр трития, данные о наработке компонентов, инструкции аварийного реагирования и финансовое обеспечение обращения с отходами. Передача без полного архива и независимой приёмки не считается безопасным завершением эксплуатации.</w:t>
      </w:r>
    </w:p>
    <w:p>
      <w:pPr>
        <w:pStyle w:val="Heading2"/>
        <w:keepNext/>
        <w:pageBreakBefore w:val="0"/>
        <w:spacing w:after="40"/>
      </w:pPr>
      <w:r>
        <w:rPr>
          <w:rFonts w:ascii="Times New Roman" w:hAnsi="Times New Roman" w:eastAsia="Times New Roman"/>
          <w:b/>
          <w:i w:val="0"/>
          <w:color w:val="2F5D83"/>
          <w:sz w:val="25"/>
        </w:rPr>
        <w:t>18.8. Если в проект будет добавлена делящаяся ядерная установка</w:t>
      </w:r>
    </w:p>
    <w:p>
      <w:pPr>
        <w:pageBreakBefore w:val="0"/>
        <w:spacing w:after="80" w:line="269" w:lineRule="auto"/>
        <w:ind w:firstLine="397"/>
      </w:pPr>
      <w:r>
        <w:rPr>
          <w:rFonts w:ascii="Times New Roman" w:hAnsi="Times New Roman" w:eastAsia="Times New Roman"/>
          <w:b w:val="0"/>
          <w:i w:val="0"/>
          <w:color w:val="20252B"/>
          <w:sz w:val="20"/>
        </w:rPr>
        <w:t>При добавлении реактора деления потребуется отдельный полный топливный цикл: добыча и конверсия сырья, обогащение или получение топлива, изготовление топливных элементов, транспортирование, эксплуатация, хранение отработавшего топлива, возможная переработка, обращение с высокоактивными отходами, физическая защита и гарантии нераспространения. Эти процессы не входят в текущую схему D–T и не могут быть подразумеваемо включены словом «ядерный». До отдельного решения делящийся реактор считается отсутствующим в проекте.</w:t>
      </w:r>
    </w:p>
    <w:p>
      <w:pPr>
        <w:pStyle w:val="Heading2"/>
        <w:keepNext/>
        <w:pageBreakBefore w:val="0"/>
        <w:spacing w:after="40"/>
      </w:pPr>
      <w:r>
        <w:rPr>
          <w:rFonts w:ascii="Times New Roman" w:hAnsi="Times New Roman" w:eastAsia="Times New Roman"/>
          <w:b/>
          <w:i w:val="0"/>
          <w:color w:val="2F5D83"/>
          <w:sz w:val="25"/>
        </w:rPr>
        <w:t>18.9. Открытые ядерно-радиологические задачи</w:t>
      </w:r>
    </w:p>
    <w:p>
      <w:pPr>
        <w:pageBreakBefore w:val="0"/>
        <w:spacing w:after="80" w:line="269" w:lineRule="auto"/>
        <w:ind w:firstLine="397"/>
      </w:pPr>
      <w:r>
        <w:rPr>
          <w:rFonts w:ascii="Times New Roman" w:hAnsi="Times New Roman" w:eastAsia="Times New Roman"/>
          <w:b w:val="0"/>
          <w:i w:val="0"/>
          <w:color w:val="20252B"/>
          <w:sz w:val="20"/>
        </w:rPr>
        <w:t>Не оформлены: выбор подтверждённой термоядерной технологии; схема наработки и возврата трития; материальный баланс топлива; нейтронно-транспортный и дозиметрический расчёт; перечень активируемых материалов; детритизация; классификация и паспортизация отходов; хранилище; маршрут вывоза или захоронения; аварийные сценарии; программа радиационного мониторинга; независимая экспертиза; лицензии и договоры с государством разрешения и государством регистрации; финансовое обеспечение вывода из эксплуатации. До закрытия этих пунктов реакторный контур должен рассматриваться как концептуальный, а не готовый к строительству.</w:t>
      </w:r>
    </w:p>
    <w:p>
      <w:pPr>
        <w:spacing w:before="200"/>
        <w:jc w:val="center"/>
      </w:pPr>
      <w:r>
        <w:rPr>
          <w:b/>
          <w:color w:val="2E5496"/>
          <w:sz w:val="17"/>
        </w:rPr>
        <w:t>ENGLISH EDITION</w:t>
      </w:r>
    </w:p>
    <w:p>
      <w:pPr>
        <w:pStyle w:val="Heading1"/>
        <w:keepNext/>
        <w:pageBreakBefore w:val="0"/>
        <w:spacing w:after="40"/>
      </w:pPr>
      <w:r>
        <w:rPr>
          <w:rFonts w:ascii="Times New Roman" w:hAnsi="Times New Roman" w:eastAsia="Times New Roman"/>
          <w:b w:val="0"/>
          <w:i w:val="0"/>
          <w:color w:val="20252B"/>
          <w:sz w:val="20"/>
        </w:rPr>
        <w:t>18. NUCLEAR AND THERMONUCLEAR ENERGY, FUEL CYCLE AND RADIOACTIVE WASTE</w:t>
      </w:r>
    </w:p>
    <w:p>
      <w:pPr>
        <w:pageBreakBefore w:val="0"/>
        <w:spacing w:after="80" w:line="269" w:lineRule="auto"/>
        <w:ind w:firstLine="397"/>
      </w:pPr>
      <w:r>
        <w:rPr>
          <w:rFonts w:ascii="Times New Roman" w:hAnsi="Times New Roman" w:eastAsia="Times New Roman"/>
          <w:b w:val="0"/>
          <w:i w:val="0"/>
          <w:color w:val="20252B"/>
          <w:sz w:val="20"/>
        </w:rPr>
        <w:t>The project uses thermonuclear D–T installations. The presence of tritium, neutron flux and activated structures creates a nuclear radiological circuit; This chapter formulates qualification requirements and objectives, but does not replace the demonstration of a reactor of the specified power.</w:t>
      </w:r>
    </w:p>
    <w:p>
      <w:pPr>
        <w:pStyle w:val="Heading2"/>
        <w:keepNext/>
        <w:pageBreakBefore w:val="0"/>
        <w:spacing w:after="40"/>
      </w:pPr>
      <w:r>
        <w:rPr>
          <w:rFonts w:ascii="Times New Roman" w:hAnsi="Times New Roman" w:eastAsia="Times New Roman"/>
          <w:b w:val="0"/>
          <w:i w:val="0"/>
          <w:color w:val="20252B"/>
          <w:sz w:val="20"/>
        </w:rPr>
        <w:t>18.1. Current Project Boundaries and Terminology</w:t>
      </w:r>
    </w:p>
    <w:p>
      <w:pPr>
        <w:pageBreakBefore w:val="0"/>
        <w:spacing w:after="80" w:line="269" w:lineRule="auto"/>
        <w:ind w:firstLine="397"/>
      </w:pPr>
      <w:r>
        <w:rPr>
          <w:rFonts w:ascii="Times New Roman" w:hAnsi="Times New Roman" w:eastAsia="Times New Roman"/>
          <w:b w:val="0"/>
          <w:i w:val="0"/>
          <w:color w:val="20252B"/>
          <w:sz w:val="20"/>
        </w:rPr>
        <w:t>The project does not provide for a uranium or plutonium fuel cycle, enrichment, production of fuel assemblies, cooling pools or reprocessing of spent nuclear fuel. The current scheme should be called thermonuclear only if the D–T reaction is preserved and all its fuel, radiation and regulatory consequences are separately verified. If a fissile reactor later appears, this document will no longer describe a complete energy loop without a separate nuclear program.</w:t>
      </w:r>
    </w:p>
    <w:p>
      <w:pPr>
        <w:pStyle w:val="Heading2"/>
        <w:keepNext/>
        <w:pageBreakBefore w:val="0"/>
        <w:spacing w:after="40"/>
      </w:pPr>
      <w:r>
        <w:rPr>
          <w:rFonts w:ascii="Times New Roman" w:hAnsi="Times New Roman" w:eastAsia="Times New Roman"/>
          <w:b w:val="0"/>
          <w:i w:val="0"/>
          <w:color w:val="20252B"/>
          <w:sz w:val="20"/>
        </w:rPr>
        <w:t>18.2. Fuel cycle D–T</w:t>
      </w:r>
    </w:p>
    <w:p>
      <w:pPr>
        <w:pageBreakBefore w:val="0"/>
        <w:spacing w:after="80" w:line="269" w:lineRule="auto"/>
        <w:ind w:firstLine="397"/>
      </w:pPr>
      <w:r>
        <w:rPr>
          <w:rFonts w:ascii="Times New Roman" w:hAnsi="Times New Roman" w:eastAsia="Times New Roman"/>
          <w:b w:val="0"/>
          <w:i w:val="0"/>
          <w:color w:val="20252B"/>
          <w:sz w:val="20"/>
        </w:rPr>
        <w:t>Paragraph 4.13.9 contains a preliminary estimate of the consumption of deuterium-tritium fuel, but does not describe the production, extraction, purification, isotopic separation, storage, dosing and return of fuel. Deuterium can be extracted from water, but the availability of tritium should not be considered naturally ensured: a closed circuit for its return and a confirmed production scheme in a lithium blanket or other licensed system are required.</w:t>
      </w:r>
    </w:p>
    <w:p>
      <w:pPr>
        <w:pageBreakBefore w:val="0"/>
        <w:spacing w:after="80" w:line="269" w:lineRule="auto"/>
        <w:ind w:firstLine="397"/>
      </w:pPr>
      <w:r>
        <w:rPr>
          <w:rFonts w:ascii="Times New Roman" w:hAnsi="Times New Roman" w:eastAsia="Times New Roman"/>
          <w:b w:val="0"/>
          <w:i w:val="0"/>
          <w:color w:val="20252B"/>
          <w:sz w:val="20"/>
        </w:rPr>
        <w:t>For each gram of tritium, there must be a material balance, double casing, leak detection system, air and water detritiation, surface contamination control, emergency containers and a procedure for transmitting data to the regulatory authority. The value of fuel consumption and the fraction of tritium reproduction remain preliminary and cannot be used as accepted characteristics of the power plant until bench tests.</w:t>
      </w:r>
    </w:p>
    <w:p>
      <w:pPr>
        <w:pStyle w:val="Heading2"/>
        <w:keepNext/>
        <w:pageBreakBefore w:val="0"/>
        <w:spacing w:after="40"/>
      </w:pPr>
      <w:r>
        <w:rPr>
          <w:rFonts w:ascii="Times New Roman" w:hAnsi="Times New Roman" w:eastAsia="Times New Roman"/>
          <w:b w:val="0"/>
          <w:i w:val="0"/>
          <w:color w:val="20252B"/>
          <w:sz w:val="20"/>
        </w:rPr>
        <w:t>18.3. Neutron flux, activation and radiation protection</w:t>
      </w:r>
    </w:p>
    <w:p>
      <w:pPr>
        <w:pageBreakBefore w:val="0"/>
        <w:spacing w:after="80" w:line="269" w:lineRule="auto"/>
        <w:ind w:firstLine="397"/>
      </w:pPr>
      <w:r>
        <w:rPr>
          <w:rFonts w:ascii="Times New Roman" w:hAnsi="Times New Roman" w:eastAsia="Times New Roman"/>
          <w:b w:val="0"/>
          <w:i w:val="0"/>
          <w:color w:val="20252B"/>
          <w:sz w:val="20"/>
        </w:rPr>
        <w:t>The D–T reaction produces fast neutrons that activate the first wall, blanket, magnetic elements, structural steels, heat exchangers and service tools. Requires calculation of the neutron source and dose fields, access zoning, individual dosimetry, remote maintenance, dwell time after shutdown, radiation reconnaissance and qualification of materials for neutron damage.</w:t>
      </w:r>
    </w:p>
    <w:p>
      <w:pPr>
        <w:pageBreakBefore w:val="0"/>
        <w:spacing w:after="80" w:line="269" w:lineRule="auto"/>
        <w:ind w:firstLine="397"/>
      </w:pPr>
      <w:r>
        <w:rPr>
          <w:rFonts w:ascii="Times New Roman" w:hAnsi="Times New Roman" w:eastAsia="Times New Roman"/>
          <w:b w:val="0"/>
          <w:i w:val="0"/>
          <w:color w:val="20252B"/>
          <w:sz w:val="20"/>
        </w:rPr>
        <w:t>The protection calculation must take into account not only the outward flow, but also the activation of the plant elements themselves, secondary gamma radiation, tritium contamination and scenarios of incomplete shielding during repairs. Distance to residential areas, reactor placement, service routes and emergency doors should be checked in conjunction with the evacuation plan, rather than a separate energy balance calculation.</w:t>
      </w:r>
    </w:p>
    <w:p>
      <w:pPr>
        <w:pStyle w:val="Heading2"/>
        <w:keepNext/>
        <w:pageBreakBefore w:val="0"/>
        <w:spacing w:after="40"/>
      </w:pPr>
      <w:r>
        <w:rPr>
          <w:rFonts w:ascii="Times New Roman" w:hAnsi="Times New Roman" w:eastAsia="Times New Roman"/>
          <w:b w:val="0"/>
          <w:i w:val="0"/>
          <w:color w:val="20252B"/>
          <w:sz w:val="20"/>
        </w:rPr>
        <w:t>18.4. Flows of radioactive materials and waste</w:t>
      </w:r>
    </w:p>
    <w:p>
      <w:pPr>
        <w:pageBreakBefore w:val="0"/>
        <w:spacing w:after="80" w:line="269" w:lineRule="auto"/>
        <w:ind w:firstLine="397"/>
      </w:pPr>
      <w:r>
        <w:rPr>
          <w:rFonts w:ascii="Times New Roman" w:hAnsi="Times New Roman" w:eastAsia="Times New Roman"/>
          <w:b w:val="0"/>
          <w:i w:val="0"/>
          <w:color w:val="20252B"/>
          <w:sz w:val="20"/>
        </w:rPr>
        <w:t>Potential flows include activated steels and alloys, first wall and blanket elements, contaminated filters and sorbents, tritium water, gas mixtures, used gloves and protective equipment, repair tools, material samples and process solutions. For each flow, classification, packaging, activity measurement, temporary storage, transport route and final handling must be defined.</w:t>
      </w:r>
    </w:p>
    <w:p>
      <w:pPr>
        <w:pageBreakBefore w:val="0"/>
        <w:spacing w:after="80" w:line="269" w:lineRule="auto"/>
        <w:ind w:firstLine="397"/>
      </w:pPr>
      <w:r>
        <w:rPr>
          <w:rFonts w:ascii="Times New Roman" w:hAnsi="Times New Roman" w:eastAsia="Times New Roman"/>
          <w:b w:val="0"/>
          <w:i w:val="0"/>
          <w:color w:val="20252B"/>
          <w:sz w:val="20"/>
        </w:rPr>
        <w:t>The current project does not have a confirmed route for removal or disposal of radioactive waste. Release into space, asteroid dumping into soil, or mixing with regular waste are not acceptable default solutions. Handling of activated materials must be consistent with the State of Authorization, State of Registry and applicable international obligations.</w:t>
      </w:r>
    </w:p>
    <w:p>
      <w:pPr>
        <w:pStyle w:val="Heading2"/>
        <w:keepNext/>
        <w:pageBreakBefore w:val="0"/>
        <w:spacing w:after="40"/>
      </w:pPr>
      <w:r>
        <w:rPr>
          <w:rFonts w:ascii="Times New Roman" w:hAnsi="Times New Roman" w:eastAsia="Times New Roman"/>
          <w:b w:val="0"/>
          <w:i w:val="0"/>
          <w:color w:val="20252B"/>
          <w:sz w:val="20"/>
        </w:rPr>
        <w:t>18.5. Storage, transportation and emergency response</w:t>
      </w:r>
    </w:p>
    <w:p>
      <w:pPr>
        <w:pageBreakBefore w:val="0"/>
        <w:spacing w:after="80" w:line="269" w:lineRule="auto"/>
        <w:ind w:firstLine="397"/>
      </w:pPr>
      <w:r>
        <w:rPr>
          <w:rFonts w:ascii="Times New Roman" w:hAnsi="Times New Roman" w:eastAsia="Times New Roman"/>
          <w:b w:val="0"/>
          <w:i w:val="0"/>
          <w:color w:val="20252B"/>
          <w:sz w:val="20"/>
        </w:rPr>
        <w:t>The plant must have physically separate storage facilities for tritium, activated components and contaminated materials, with temperature, pressure, airtightness, background radiation and access controlled. The transfer of materials between the reactor, repair area, warehouse and transport apparatus must be accompanied by a batch passport and an unbroken chain of accounting.</w:t>
      </w:r>
    </w:p>
    <w:p>
      <w:pPr>
        <w:pageBreakBefore w:val="0"/>
        <w:spacing w:after="80" w:line="269" w:lineRule="auto"/>
        <w:ind w:firstLine="397"/>
      </w:pPr>
      <w:r>
        <w:rPr>
          <w:rFonts w:ascii="Times New Roman" w:hAnsi="Times New Roman" w:eastAsia="Times New Roman"/>
          <w:b w:val="0"/>
          <w:i w:val="0"/>
          <w:color w:val="20252B"/>
          <w:sz w:val="20"/>
        </w:rPr>
        <w:t>The emergency plan must cover tritium leakage, detritization failure, blanket damage, fire in the technical area, loss of cooling, erroneous opening of the radiation gate, release into the habitable volume, and loss of communication with the operator. Each scenario requires thresholds, automatic shutdown, containment zones, protective equipment, medical triage, and regulatory notification procedures.</w:t>
      </w:r>
    </w:p>
    <w:p>
      <w:pPr>
        <w:pStyle w:val="Heading2"/>
        <w:keepNext/>
        <w:pageBreakBefore w:val="0"/>
        <w:spacing w:after="40"/>
      </w:pPr>
      <w:r>
        <w:rPr>
          <w:rFonts w:ascii="Times New Roman" w:hAnsi="Times New Roman" w:eastAsia="Times New Roman"/>
          <w:b w:val="0"/>
          <w:i w:val="0"/>
          <w:color w:val="20252B"/>
          <w:sz w:val="20"/>
        </w:rPr>
        <w:t>18.6. Licensing, supervision and independent acceptance</w:t>
      </w:r>
    </w:p>
    <w:p>
      <w:pPr>
        <w:pageBreakBefore w:val="0"/>
        <w:spacing w:after="80" w:line="269" w:lineRule="auto"/>
        <w:ind w:firstLine="397"/>
      </w:pPr>
      <w:r>
        <w:rPr>
          <w:rFonts w:ascii="Times New Roman" w:hAnsi="Times New Roman" w:eastAsia="Times New Roman"/>
          <w:b w:val="0"/>
          <w:i w:val="0"/>
          <w:color w:val="20252B"/>
          <w:sz w:val="20"/>
        </w:rPr>
        <w:t>Licensing should be tied to the actual technology chosen: production and storage of tritium, work with activated materials, radiation control, transportation of radioactive substances and operation of a power plant may fall under different regimes. The Russian operator cannot replace the permissions of the state of registration or international obligations with one internal instruction.</w:t>
      </w:r>
    </w:p>
    <w:p>
      <w:pPr>
        <w:pageBreakBefore w:val="0"/>
        <w:spacing w:after="80" w:line="269" w:lineRule="auto"/>
        <w:ind w:firstLine="397"/>
      </w:pPr>
      <w:r>
        <w:rPr>
          <w:rFonts w:ascii="Times New Roman" w:hAnsi="Times New Roman" w:eastAsia="Times New Roman"/>
          <w:b w:val="0"/>
          <w:i w:val="0"/>
          <w:color w:val="20252B"/>
          <w:sz w:val="20"/>
        </w:rPr>
        <w:t>Before putting reactors into operation, independent nuclear and radiation expertise, testing of containment shells, testing of shutdown channels, qualification of materials, a dosimetry program, accounting for nuclear and radioactive materials, personnel training and the right of the inspector to stop the installation are required. The estimated power of 366 GW per reactor is not a basis for acceptance without an experimental base and certification program.</w:t>
      </w:r>
    </w:p>
    <w:p>
      <w:pPr>
        <w:pStyle w:val="Heading2"/>
        <w:keepNext/>
        <w:pageBreakBefore w:val="0"/>
        <w:spacing w:after="40"/>
      </w:pPr>
      <w:r>
        <w:rPr>
          <w:rFonts w:ascii="Times New Roman" w:hAnsi="Times New Roman" w:eastAsia="Times New Roman"/>
          <w:b w:val="0"/>
          <w:i w:val="0"/>
          <w:color w:val="20252B"/>
          <w:sz w:val="20"/>
        </w:rPr>
        <w:t>18.7. Decommissioning and transfer of responsibility</w:t>
      </w:r>
    </w:p>
    <w:p>
      <w:pPr>
        <w:pageBreakBefore w:val="0"/>
        <w:spacing w:after="80" w:line="269" w:lineRule="auto"/>
        <w:ind w:firstLine="397"/>
      </w:pPr>
      <w:r>
        <w:rPr>
          <w:rFonts w:ascii="Times New Roman" w:hAnsi="Times New Roman" w:eastAsia="Times New Roman"/>
          <w:b w:val="0"/>
          <w:i w:val="0"/>
          <w:color w:val="20252B"/>
          <w:sz w:val="20"/>
        </w:rPr>
        <w:t>The decommissioning plan should include stopping reactions, removing or stabilizing fuel, detritiating circuits, aging activated parts, remotely controlled dismantling, waste classification, facility cleanup, radiation surveys, and long-term monitoring. The responsible operator, the State of authorization and the State of registry must be identified at each stage.</w:t>
      </w:r>
    </w:p>
    <w:p>
      <w:pPr>
        <w:pageBreakBefore w:val="0"/>
        <w:spacing w:after="80" w:line="269" w:lineRule="auto"/>
        <w:ind w:firstLine="397"/>
      </w:pPr>
      <w:r>
        <w:rPr>
          <w:rFonts w:ascii="Times New Roman" w:hAnsi="Times New Roman" w:eastAsia="Times New Roman"/>
          <w:b w:val="0"/>
          <w:i w:val="0"/>
          <w:color w:val="20252B"/>
          <w:sz w:val="20"/>
        </w:rPr>
        <w:t>If the station is transferred to a new operator, along with the infrastructure, material passports, dose maps, leak history, tritium register, data on the operating time of components, emergency response instructions and financial support for waste management are transferred. Transfer without a complete archive and independent acceptance is not considered a safe end to service.</w:t>
      </w:r>
    </w:p>
    <w:p>
      <w:pPr>
        <w:pStyle w:val="Heading2"/>
        <w:keepNext/>
        <w:pageBreakBefore w:val="0"/>
        <w:spacing w:after="40"/>
      </w:pPr>
      <w:r>
        <w:rPr>
          <w:rFonts w:ascii="Times New Roman" w:hAnsi="Times New Roman" w:eastAsia="Times New Roman"/>
          <w:b w:val="0"/>
          <w:i w:val="0"/>
          <w:color w:val="20252B"/>
          <w:sz w:val="20"/>
        </w:rPr>
        <w:t>18.8. If a fissile nuclear plant is added to the project</w:t>
      </w:r>
    </w:p>
    <w:p>
      <w:pPr>
        <w:pageBreakBefore w:val="0"/>
        <w:spacing w:after="80" w:line="269" w:lineRule="auto"/>
        <w:ind w:firstLine="397"/>
      </w:pPr>
      <w:r>
        <w:rPr>
          <w:rFonts w:ascii="Times New Roman" w:hAnsi="Times New Roman" w:eastAsia="Times New Roman"/>
          <w:b w:val="0"/>
          <w:i w:val="0"/>
          <w:color w:val="20252B"/>
          <w:sz w:val="20"/>
        </w:rPr>
        <w:t>Adding a fission reactor would require a separate complete fuel cycle: feedstock extraction and conversion, fuel enrichment or production, fuel cell fabrication, transportation, operation, spent fuel storage, possible reprocessing, high-level waste management, physical protection, and nonproliferation assurances. These processes are not included in the current D–T scheme and cannot be impliedly included by the word “nuclear.” Until a separate decision, a fissile reactor is considered absent from the design.</w:t>
      </w:r>
    </w:p>
    <w:p>
      <w:pPr>
        <w:pStyle w:val="Heading2"/>
        <w:keepNext/>
        <w:pageBreakBefore w:val="0"/>
        <w:spacing w:after="40"/>
      </w:pPr>
      <w:r>
        <w:rPr>
          <w:rFonts w:ascii="Times New Roman" w:hAnsi="Times New Roman" w:eastAsia="Times New Roman"/>
          <w:b w:val="0"/>
          <w:i w:val="0"/>
          <w:color w:val="20252B"/>
          <w:sz w:val="20"/>
        </w:rPr>
        <w:t>18.9. Open nuclear radiological problems</w:t>
      </w:r>
    </w:p>
    <w:p>
      <w:pPr>
        <w:pageBreakBefore w:val="0"/>
        <w:spacing w:after="80" w:line="269" w:lineRule="auto"/>
        <w:ind w:firstLine="397"/>
      </w:pPr>
      <w:r>
        <w:rPr>
          <w:rFonts w:ascii="Times New Roman" w:hAnsi="Times New Roman" w:eastAsia="Times New Roman"/>
          <w:b w:val="0"/>
          <w:i w:val="0"/>
          <w:color w:val="20252B"/>
          <w:sz w:val="20"/>
        </w:rPr>
        <w:t>Not formalized: selection of confirmed thermonuclear technology; circuit for tritium production and return; fuel material balance; neutron transport and dosimetric calculations; list of activated materials; detritization; classification and certification of waste; storage; route of removal or disposal; emergency scenarios; radiation monitoring program; independent examination; licenses and agreements with the state of authorization and state of registration; financial support for decommissioning. Until these points are closed, the reactor circuit should be considered as conceptual and not ready for construction.</w:t>
      </w:r>
    </w:p>
    <w:p/>
    <w:p>
      <w:pPr>
        <w:spacing w:before="200"/>
        <w:jc w:val="center"/>
      </w:pPr>
      <w:r>
        <w:rPr>
          <w:b/>
          <w:color w:val="2E5496"/>
          <w:sz w:val="17"/>
        </w:rPr>
        <w:t>СПИСОК ЛИТЕРАТУРЫ РАЗДЕЛА / REFERENCES OF THIS SECTION</w:t>
      </w:r>
    </w:p>
    <w:p>
      <w:pPr>
        <w:ind w:left="340" w:hanging="340"/>
      </w:pPr>
      <w:r>
        <w:rPr>
          <w:sz w:val="18"/>
        </w:rPr>
        <w:t>1. Договор о принципах деятельности государств по исследованию и использованию космического пространства, включая Луну и другие небесные тела. 27 января 1967 г. Статьи II, VI, VIII.</w:t>
      </w:r>
    </w:p>
    <w:p>
      <w:pPr>
        <w:ind w:left="340" w:hanging="340"/>
      </w:pPr>
      <w:r>
        <w:rPr>
          <w:sz w:val="18"/>
        </w:rPr>
        <w:t>1. Treaty on Principles Governing the Activities of States in the Exploration and Use of Outer Space, including the Moon and Other Celestial Bodies. 27 January 1967. Articles II, VI, VIII.</w:t>
      </w:r>
    </w:p>
    <w:p>
      <w:r>
        <w:rPr>
          <w:b/>
          <w:sz w:val="18"/>
        </w:rPr>
        <w:t>Кроме того, раздел опирается на собственные допущения публикации:</w:t>
      </w:r>
    </w:p>
    <w:p>
      <w:pPr>
        <w:ind w:left="340" w:hanging="340"/>
      </w:pPr>
      <w:r>
        <w:rPr>
          <w:sz w:val="18"/>
        </w:rPr>
        <w:t>· Энергия и тепло: электрический, тепловой и радиаторный балансы являются стационарными оценками.</w:t>
      </w:r>
    </w:p>
    <w:p>
      <w:pPr>
        <w:ind w:left="340" w:hanging="340"/>
      </w:pPr>
      <w:r>
        <w:rPr>
          <w:sz w:val="18"/>
        </w:rPr>
        <w:t>· Energy and heat: electrical, thermal and radiator balances are steady-state estimates.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