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18"/>
        </w:rPr>
        <w:t>ММОСО'Н — модуль моделирования орбитальной станции О'Нилла</w:t>
      </w:r>
    </w:p>
    <w:p>
      <w:pPr>
        <w:jc w:val="center"/>
      </w:pPr>
      <w:r>
        <w:rPr>
          <w:i/>
          <w:sz w:val="18"/>
        </w:rPr>
        <w:t>Раздел 19 / Section 19</w:t>
      </w:r>
    </w:p>
    <w:p>
      <w:pPr>
        <w:jc w:val="center"/>
      </w:pPr>
      <w:r>
        <w:rPr>
          <w:b/>
          <w:color w:val="1F3864"/>
          <w:sz w:val="26"/>
        </w:rPr>
        <w:t>19. СВОДКА ДОПОЛНИТЕЛЬНЫХ НЕРЕШЁННЫХ СИСТЕМНЫХ ЗАДАЧ</w:t>
      </w:r>
    </w:p>
    <w:p>
      <w:pPr>
        <w:jc w:val="center"/>
      </w:pPr>
      <w:r>
        <w:rPr>
          <w:b/>
          <w:color w:val="1F3864"/>
          <w:sz w:val="26"/>
        </w:rPr>
        <w:t>19. SUMMARY OF ADDITIONAL UNSOLVED SYSTEM PROBLEMS</w:t>
      </w:r>
    </w:p>
    <w:p>
      <w:pPr>
        <w:jc w:val="center"/>
      </w:pPr>
      <w:r>
        <w:rPr>
          <w:i/>
          <w:sz w:val="17"/>
        </w:rPr>
        <w:t>Редакция 8 · 31 октября 2026 г.  ·  документ 21 из 43</w:t>
      </w:r>
    </w:p>
    <w:p>
      <w:pPr>
        <w:jc w:val="center"/>
      </w:pPr>
      <w:r>
        <w:rPr>
          <w:color w:val="808080"/>
          <w:sz w:val="16"/>
        </w:rPr>
        <w:t>——————————————————————————————————</w:t>
      </w:r>
    </w:p>
    <w:p>
      <w:pPr>
        <w:spacing w:before="200"/>
        <w:jc w:val="center"/>
      </w:pPr>
      <w:r>
        <w:rPr>
          <w:b/>
          <w:color w:val="2E5496"/>
          <w:sz w:val="17"/>
        </w:rPr>
        <w:t>РУССКАЯ РЕДАКЦИЯ / РУССКИЙ ТЕКСТ</w:t>
      </w:r>
    </w:p>
    <w:p>
      <w:pPr>
        <w:pStyle w:val="Heading1"/>
        <w:keepNext/>
        <w:pageBreakBefore w:val="0"/>
        <w:spacing w:after="40"/>
      </w:pPr>
      <w:r>
        <w:rPr>
          <w:rFonts w:ascii="Times New Roman" w:hAnsi="Times New Roman" w:eastAsia="Times New Roman"/>
          <w:b/>
          <w:i w:val="0"/>
          <w:color w:val="1F3A5F"/>
          <w:sz w:val="30"/>
        </w:rPr>
        <w:t>19. СВОДКА ДОПОЛНИТЕЛЬНЫХ НЕРЕШЁННЫХ СИСТЕМНЫХ ЗАДАЧ</w:t>
      </w:r>
    </w:p>
    <w:p>
      <w:pPr>
        <w:pageBreakBefore w:val="0"/>
        <w:spacing w:after="80" w:line="269" w:lineRule="auto"/>
        <w:ind w:firstLine="397"/>
      </w:pPr>
      <w:r>
        <w:rPr>
          <w:rFonts w:ascii="Times New Roman" w:hAnsi="Times New Roman" w:eastAsia="Times New Roman"/>
          <w:b w:val="0"/>
          <w:i w:val="0"/>
          <w:color w:val="20252B"/>
          <w:sz w:val="20"/>
        </w:rPr>
        <w:t>Остаются задачи, которые требуют испытательных образцов, длительных экспериментов, независимой экспертизы, нормативного решения или изменения исходной архитектуры. Глава фиксирует их как обязательную программу следующей стадии.</w:t>
      </w:r>
    </w:p>
    <w:p>
      <w:pPr>
        <w:pStyle w:val="Heading2"/>
        <w:keepNext/>
        <w:pageBreakBefore w:val="0"/>
        <w:spacing w:after="40"/>
      </w:pPr>
      <w:r>
        <w:rPr>
          <w:rFonts w:ascii="Times New Roman" w:hAnsi="Times New Roman" w:eastAsia="Times New Roman"/>
          <w:b/>
          <w:i w:val="0"/>
          <w:color w:val="2F5D83"/>
          <w:sz w:val="25"/>
        </w:rPr>
        <w:t>19.1. Дефицитные материалы и промышленная реализуемость</w:t>
      </w:r>
    </w:p>
    <w:p>
      <w:pPr>
        <w:pageBreakBefore w:val="0"/>
        <w:spacing w:after="80" w:line="269" w:lineRule="auto"/>
        <w:ind w:firstLine="397"/>
      </w:pPr>
      <w:r>
        <w:rPr>
          <w:rFonts w:ascii="Times New Roman" w:hAnsi="Times New Roman" w:eastAsia="Times New Roman"/>
          <w:b w:val="0"/>
          <w:i w:val="0"/>
          <w:color w:val="20252B"/>
          <w:sz w:val="20"/>
        </w:rPr>
        <w:t>Потребность в молибдене, легирующих добавках, герметиках, магнитных материалах, катализаторах, сорбентах и специальных полимерах должна быть пересчитана по полному жизненному циклу. Один только баланс астероидного сырья не доказывает доступность элемента: требуется указать концентрацию, извлечение, потери, чистоту, энергию передела и возврат в оборот. Для дефицитного молибдена необходимы как минимум три проверяемые ветви: замена сплава, снижение содержания без потери ресурса и отдельная поставка из внешнего источника.</w:t>
      </w:r>
    </w:p>
    <w:p>
      <w:pPr>
        <w:pageBreakBefore w:val="0"/>
        <w:spacing w:after="80" w:line="269" w:lineRule="auto"/>
        <w:ind w:firstLine="397"/>
      </w:pPr>
      <w:r>
        <w:rPr>
          <w:rFonts w:ascii="Times New Roman" w:hAnsi="Times New Roman" w:eastAsia="Times New Roman"/>
          <w:b w:val="0"/>
          <w:i w:val="0"/>
          <w:color w:val="20252B"/>
          <w:sz w:val="20"/>
        </w:rPr>
        <w:t>Следует разработать промышленную цепочку добычи, дробления, обогащения, плавки, разливки, ковки, термообработки, сварки и неразрушающего контроля в условиях станции. Мировые аналоги единичных отливок и сварных конструкций нельзя автоматически масштабировать до оболочки длиной десятки километров. Масса оборудования, расходные материалы, ремонтопригодность и запас инструмента должны входить в материальный и энергетический баланс.</w:t>
      </w:r>
    </w:p>
    <w:p>
      <w:pPr>
        <w:pStyle w:val="Heading2"/>
        <w:keepNext/>
        <w:pageBreakBefore w:val="0"/>
        <w:spacing w:after="40"/>
      </w:pPr>
      <w:r>
        <w:rPr>
          <w:rFonts w:ascii="Times New Roman" w:hAnsi="Times New Roman" w:eastAsia="Times New Roman"/>
          <w:b/>
          <w:i w:val="0"/>
          <w:color w:val="2F5D83"/>
          <w:sz w:val="25"/>
        </w:rPr>
        <w:t>19.2. Полномасштабная механика, прочность и ресурс</w:t>
      </w:r>
    </w:p>
    <w:p>
      <w:pPr>
        <w:pageBreakBefore w:val="0"/>
        <w:spacing w:after="80" w:line="269" w:lineRule="auto"/>
        <w:ind w:firstLine="397"/>
      </w:pPr>
      <w:r>
        <w:rPr>
          <w:rFonts w:ascii="Times New Roman" w:hAnsi="Times New Roman" w:eastAsia="Times New Roman"/>
          <w:b w:val="0"/>
          <w:i w:val="0"/>
          <w:color w:val="20252B"/>
          <w:sz w:val="20"/>
        </w:rPr>
        <w:t>Расчёты оболочки, подшипникового узла и стыка являются предварительными до выполнения независимой конечно-элементной модели с геометрическими нелинейностями, локальными концентраторами, сварными швами, температурными полями, остаточными напряжениями и аварийными режимами. Отдельно должны быть проверены 1 308 МПа окружного напряжения, осевой распор до 10¹⁰ Н, динамика активного кольца Ø400 м, механические ловители и последствия потери магнитного контура.</w:t>
      </w:r>
    </w:p>
    <w:p>
      <w:pPr>
        <w:pageBreakBefore w:val="0"/>
        <w:spacing w:after="80" w:line="269" w:lineRule="auto"/>
        <w:ind w:firstLine="397"/>
      </w:pPr>
      <w:r>
        <w:rPr>
          <w:rFonts w:ascii="Times New Roman" w:hAnsi="Times New Roman" w:eastAsia="Times New Roman"/>
          <w:b w:val="0"/>
          <w:i w:val="0"/>
          <w:color w:val="20252B"/>
          <w:sz w:val="20"/>
        </w:rPr>
        <w:t>До сборки станции необходимы масштабные и полномасштабные демонстраторы: сегмент оболочки с настоящим сварным соединением; узел гермоперехода; подшипниковое кольцо; аварийный ловитель; вращающаяся кабина; температурно-радиационный образец уплотнения. Испытания должны включать миллионы циклов, остановку и повторный разгон, дисбаланс, удар ловителя, утечку и ремонт в удалённом режиме.</w:t>
      </w:r>
    </w:p>
    <w:p>
      <w:pPr>
        <w:pStyle w:val="Heading2"/>
        <w:keepNext/>
        <w:pageBreakBefore w:val="0"/>
        <w:spacing w:after="40"/>
      </w:pPr>
      <w:r>
        <w:rPr>
          <w:rFonts w:ascii="Times New Roman" w:hAnsi="Times New Roman" w:eastAsia="Times New Roman"/>
          <w:b/>
          <w:i w:val="0"/>
          <w:color w:val="2F5D83"/>
          <w:sz w:val="25"/>
        </w:rPr>
        <w:t>19.3. Динамика биосферы и химия замкнутой атмосферы</w:t>
      </w:r>
    </w:p>
    <w:p>
      <w:pPr>
        <w:pageBreakBefore w:val="0"/>
        <w:spacing w:after="80" w:line="269" w:lineRule="auto"/>
        <w:ind w:firstLine="397"/>
      </w:pPr>
      <w:r>
        <w:rPr>
          <w:rFonts w:ascii="Times New Roman" w:hAnsi="Times New Roman" w:eastAsia="Times New Roman"/>
          <w:b w:val="0"/>
          <w:i w:val="0"/>
          <w:color w:val="20252B"/>
          <w:sz w:val="20"/>
        </w:rPr>
        <w:t>Все основные балансы должны быть переведены из стационарной формы в динамическую модель с задержками, запасами, нелинейностями и отказами. Нужны связные модели кислорода, углекислого газа, воды, азота, серы, метана, влажности, температуры, почвенного дыхания, фотосинтеза, технической переработки и поведения населения. Критерий устойчивости — не равенство годовых приходов и расходов, а способность системы пережить длительный отказ и вернуться к безопасному режиму.</w:t>
      </w:r>
    </w:p>
    <w:p>
      <w:pPr>
        <w:pageBreakBefore w:val="0"/>
        <w:spacing w:after="80" w:line="269" w:lineRule="auto"/>
        <w:ind w:firstLine="397"/>
      </w:pPr>
      <w:r>
        <w:rPr>
          <w:rFonts w:ascii="Times New Roman" w:hAnsi="Times New Roman" w:eastAsia="Times New Roman"/>
          <w:b w:val="0"/>
          <w:i w:val="0"/>
          <w:color w:val="20252B"/>
          <w:sz w:val="20"/>
        </w:rPr>
        <w:t>Следовые загрязнители — летучие органические соединения, аммиак, сероводород, метан, озон, альдегиды, аэрозоли, продукты коррозии и микробные метаболиты — требуют перечня источников, сенсоров, предельных концентраций, сорбентов, каталитической очистки и процедур расследования. Для каждого вещества нужен баланс образования и удаления, а не только общий запрет на загрязнение.</w:t>
      </w:r>
    </w:p>
    <w:p>
      <w:pPr>
        <w:pStyle w:val="Heading2"/>
        <w:keepNext/>
        <w:pageBreakBefore w:val="0"/>
        <w:spacing w:after="40"/>
      </w:pPr>
      <w:r>
        <w:rPr>
          <w:rFonts w:ascii="Times New Roman" w:hAnsi="Times New Roman" w:eastAsia="Times New Roman"/>
          <w:b/>
          <w:i w:val="0"/>
          <w:color w:val="2F5D83"/>
          <w:sz w:val="25"/>
        </w:rPr>
        <w:t>19.4. Освещение, сезоны и климатическая устойчивость</w:t>
      </w:r>
    </w:p>
    <w:p>
      <w:pPr>
        <w:pageBreakBefore w:val="0"/>
        <w:spacing w:after="80" w:line="269" w:lineRule="auto"/>
        <w:ind w:firstLine="397"/>
      </w:pPr>
      <w:r>
        <w:rPr>
          <w:rFonts w:ascii="Times New Roman" w:hAnsi="Times New Roman" w:eastAsia="Times New Roman"/>
          <w:b w:val="0"/>
          <w:i w:val="0"/>
          <w:color w:val="20252B"/>
          <w:sz w:val="20"/>
        </w:rPr>
        <w:t>Имитация суточного цикла уже описана, но влияние длительных сезонных режимов на растения, животных, сон, психику, энергопотребление и тепловой баланс не закрыто. Необходимы длительные эксперименты с изменением спектра, фотопериода, облачности, влажности, температурных градиентов и отражательной способности ландшафта. Сезонный сценарий должен иметь аварийный режим без потери урожая и без превышения тепловой мощности осевой светотепловой балки.</w:t>
      </w:r>
    </w:p>
    <w:p>
      <w:pPr>
        <w:pStyle w:val="Heading2"/>
        <w:keepNext/>
        <w:pageBreakBefore w:val="0"/>
        <w:spacing w:after="40"/>
      </w:pPr>
      <w:r>
        <w:rPr>
          <w:rFonts w:ascii="Times New Roman" w:hAnsi="Times New Roman" w:eastAsia="Times New Roman"/>
          <w:b/>
          <w:i w:val="0"/>
          <w:color w:val="2F5D83"/>
          <w:sz w:val="25"/>
        </w:rPr>
        <w:t>19.5. Физиология человека, беременность и развитие детей</w:t>
      </w:r>
    </w:p>
    <w:p>
      <w:pPr>
        <w:pageBreakBefore w:val="0"/>
        <w:spacing w:after="80" w:line="269" w:lineRule="auto"/>
        <w:ind w:firstLine="397"/>
      </w:pPr>
      <w:r>
        <w:rPr>
          <w:rFonts w:ascii="Times New Roman" w:hAnsi="Times New Roman" w:eastAsia="Times New Roman"/>
          <w:b w:val="0"/>
          <w:i w:val="0"/>
          <w:color w:val="20252B"/>
          <w:sz w:val="20"/>
        </w:rPr>
        <w:t>Допущение о пригодности искусственной тяжести не заменяет медицинскую программу. Нужны исследования вестибулярного аппарата, сердечно-сосудистой системы, костей, мышц, зрения, сна, беременности, родов, роста ребёнка, полового созревания и старения при градиенте тяжести от оси к ободу. До получения данных должны быть установлены ограничения по зонам, возрасту, длительности пребывания и медицинским противопоказаниям.</w:t>
      </w:r>
    </w:p>
    <w:p>
      <w:pPr>
        <w:pageBreakBefore w:val="0"/>
        <w:spacing w:after="80" w:line="269" w:lineRule="auto"/>
        <w:ind w:firstLine="397"/>
      </w:pPr>
      <w:r>
        <w:rPr>
          <w:rFonts w:ascii="Times New Roman" w:hAnsi="Times New Roman" w:eastAsia="Times New Roman"/>
          <w:b w:val="0"/>
          <w:i w:val="0"/>
          <w:color w:val="20252B"/>
          <w:sz w:val="20"/>
        </w:rPr>
        <w:t>Медицинская система должна предусматривать телемедицину с Землёй, хирургическую помощь, стоматологию, лабораторную диагностику, инфекционный контроль, фармацевтическое производство и эвакуацию тяжёлого пациента. Нужны запас лекарств и расходных материалов, независимое питание медицинских зон, защита медицинских данных и процедура принятия решений при конфликте интересов между лечением и сохранением критической системы.</w:t>
      </w:r>
    </w:p>
    <w:p>
      <w:pPr>
        <w:pStyle w:val="Heading2"/>
        <w:keepNext/>
        <w:pageBreakBefore w:val="0"/>
        <w:spacing w:after="40"/>
      </w:pPr>
      <w:r>
        <w:rPr>
          <w:rFonts w:ascii="Times New Roman" w:hAnsi="Times New Roman" w:eastAsia="Times New Roman"/>
          <w:b/>
          <w:i w:val="0"/>
          <w:color w:val="2F5D83"/>
          <w:sz w:val="25"/>
        </w:rPr>
        <w:t>19.6. Эпидемиология, карантин и биологическая безопасность</w:t>
      </w:r>
    </w:p>
    <w:p>
      <w:pPr>
        <w:pageBreakBefore w:val="0"/>
        <w:spacing w:after="80" w:line="269" w:lineRule="auto"/>
        <w:ind w:firstLine="397"/>
      </w:pPr>
      <w:r>
        <w:rPr>
          <w:rFonts w:ascii="Times New Roman" w:hAnsi="Times New Roman" w:eastAsia="Times New Roman"/>
          <w:b w:val="0"/>
          <w:i w:val="0"/>
          <w:color w:val="20252B"/>
          <w:sz w:val="20"/>
        </w:rPr>
        <w:t>Замкнутый объём делает любой занос патогена одновременно медицинским и инженерным событием. Необходимы карантинные контуры для экипажа, грузов, образцов и возвращаемых материалов; независимый воздух и стоки; лаборатории ранней диагностики; запас средств защиты; процедура контактного расследования; ограничения перемещения и коммуникации при вспышке. Чистые зоны должны быть связаны с планетарной защитой, а не существовать только как режим уборки.</w:t>
      </w:r>
    </w:p>
    <w:p>
      <w:pPr>
        <w:pageBreakBefore w:val="0"/>
        <w:spacing w:after="80" w:line="269" w:lineRule="auto"/>
        <w:ind w:firstLine="397"/>
      </w:pPr>
      <w:r>
        <w:rPr>
          <w:rFonts w:ascii="Times New Roman" w:hAnsi="Times New Roman" w:eastAsia="Times New Roman"/>
          <w:b w:val="0"/>
          <w:i w:val="0"/>
          <w:color w:val="20252B"/>
          <w:sz w:val="20"/>
        </w:rPr>
        <w:t>Перенос земной почвенной биоты требует отдельной оценки устойчивости экосистемы и риска вытеснения полезных видов. В проекте должны быть реестр намеренно внесённых организмов, система обнаружения незапланированных видов, банк образцов, правила биологического эксперимента и процедура остановки работ при появлении неизвестного патогена или инвазивного организма.</w:t>
      </w:r>
    </w:p>
    <w:p>
      <w:pPr>
        <w:pStyle w:val="Heading2"/>
        <w:keepNext/>
        <w:pageBreakBefore w:val="0"/>
        <w:spacing w:after="40"/>
      </w:pPr>
      <w:r>
        <w:rPr>
          <w:rFonts w:ascii="Times New Roman" w:hAnsi="Times New Roman" w:eastAsia="Times New Roman"/>
          <w:b/>
          <w:i w:val="0"/>
          <w:color w:val="2F5D83"/>
          <w:sz w:val="25"/>
        </w:rPr>
        <w:t>19.7. Пожар, дым и токсикология материалов</w:t>
      </w:r>
    </w:p>
    <w:p>
      <w:pPr>
        <w:pageBreakBefore w:val="0"/>
        <w:spacing w:after="80" w:line="269" w:lineRule="auto"/>
        <w:ind w:firstLine="397"/>
      </w:pPr>
      <w:r>
        <w:rPr>
          <w:rFonts w:ascii="Times New Roman" w:hAnsi="Times New Roman" w:eastAsia="Times New Roman"/>
          <w:b w:val="0"/>
          <w:i w:val="0"/>
          <w:color w:val="20252B"/>
          <w:sz w:val="20"/>
        </w:rPr>
        <w:t>Запрет открытого горения не устраняет риск короткого замыкания, перегрева, тления, пиролиза полимеров, возгорания кабелей, аккумуляторов, водорода и органического сырья. Для всех материалов нужны испытания горючести, дымообразования, токсичности продуктов разложения, скорости распространения огня и пригодности средств тушения в искусственной тяжести. Система должна уметь изолировать секцию, сохранить дыхательную атмосферу соседних секций и не создать вторичное отравление огнетушащим веществом.</w:t>
      </w:r>
    </w:p>
    <w:p>
      <w:pPr>
        <w:pStyle w:val="Heading2"/>
        <w:keepNext/>
        <w:pageBreakBefore w:val="0"/>
        <w:spacing w:after="40"/>
      </w:pPr>
      <w:r>
        <w:rPr>
          <w:rFonts w:ascii="Times New Roman" w:hAnsi="Times New Roman" w:eastAsia="Times New Roman"/>
          <w:b/>
          <w:i w:val="0"/>
          <w:color w:val="2F5D83"/>
          <w:sz w:val="25"/>
        </w:rPr>
        <w:t>19.8. Энергетические, тепловые и водные переходные режимы</w:t>
      </w:r>
    </w:p>
    <w:p>
      <w:pPr>
        <w:pageBreakBefore w:val="0"/>
        <w:spacing w:after="80" w:line="269" w:lineRule="auto"/>
        <w:ind w:firstLine="397"/>
      </w:pPr>
      <w:r>
        <w:rPr>
          <w:rFonts w:ascii="Times New Roman" w:hAnsi="Times New Roman" w:eastAsia="Times New Roman"/>
          <w:b w:val="0"/>
          <w:i w:val="0"/>
          <w:color w:val="20252B"/>
          <w:sz w:val="20"/>
        </w:rPr>
        <w:t>Годовой энергобаланс не доказывает устойчивость к быстрому изменению нагрузки. Нужны сценарии чёрного пуска, потери одного и нескольких реакторов, ступенчатого отключения освещения, разрыва холодного контура, перегрева радиаторов, замерзания технических зон, выхода из строя аккумуляторов и повторного подключения крупных потребителей. В каждом сценарии должны быть минимальные уровни воздуха, воды, тепла, связи и освещения.</w:t>
      </w:r>
    </w:p>
    <w:p>
      <w:pPr>
        <w:pageBreakBefore w:val="0"/>
        <w:spacing w:after="80" w:line="269" w:lineRule="auto"/>
        <w:ind w:firstLine="397"/>
      </w:pPr>
      <w:r>
        <w:rPr>
          <w:rFonts w:ascii="Times New Roman" w:hAnsi="Times New Roman" w:eastAsia="Times New Roman"/>
          <w:b w:val="0"/>
          <w:i w:val="0"/>
          <w:color w:val="20252B"/>
          <w:sz w:val="20"/>
        </w:rPr>
        <w:t>Водный цикл требуется моделировать по часам и суткам: утечки, конденсация, очистка, аварийный запас, загрязнение, разделение питьевой и технической воды, пожарный запас, орошение и потребности промышленности. Восстановление после потери одного очистного каскада должно быть проверено физическим демонстратором, а не только резервированием насосов.</w:t>
      </w:r>
    </w:p>
    <w:p>
      <w:pPr>
        <w:pStyle w:val="Heading2"/>
        <w:keepNext/>
        <w:pageBreakBefore w:val="0"/>
        <w:spacing w:after="40"/>
      </w:pPr>
      <w:r>
        <w:rPr>
          <w:rFonts w:ascii="Times New Roman" w:hAnsi="Times New Roman" w:eastAsia="Times New Roman"/>
          <w:b/>
          <w:i w:val="0"/>
          <w:color w:val="2F5D83"/>
          <w:sz w:val="25"/>
        </w:rPr>
        <w:t>19.9. Транспорт, грузопоток и спасение</w:t>
      </w:r>
    </w:p>
    <w:p>
      <w:pPr>
        <w:pageBreakBefore w:val="0"/>
        <w:spacing w:after="80" w:line="269" w:lineRule="auto"/>
        <w:ind w:firstLine="397"/>
      </w:pPr>
      <w:r>
        <w:rPr>
          <w:rFonts w:ascii="Times New Roman" w:hAnsi="Times New Roman" w:eastAsia="Times New Roman"/>
          <w:b w:val="0"/>
          <w:i w:val="0"/>
          <w:color w:val="20252B"/>
          <w:sz w:val="20"/>
        </w:rPr>
        <w:t>Пропускная способность шахт и коридоров должна быть сверена не только с заселением, но и с массовой эвакуацией, медицинской транспортировкой, пожарными составами, грузами, ремонтными бригадами и встречным движением. Требуются расписание при норме и аварии, приоритеты, места укрытия, торможение при потере питания, ручное управление, спасение кабины и совместимость с карантином.</w:t>
      </w:r>
    </w:p>
    <w:p>
      <w:pPr>
        <w:pageBreakBefore w:val="0"/>
        <w:spacing w:after="80" w:line="269" w:lineRule="auto"/>
        <w:ind w:firstLine="397"/>
      </w:pPr>
      <w:r>
        <w:rPr>
          <w:rFonts w:ascii="Times New Roman" w:hAnsi="Times New Roman" w:eastAsia="Times New Roman"/>
          <w:b w:val="0"/>
          <w:i w:val="0"/>
          <w:color w:val="20252B"/>
          <w:sz w:val="20"/>
        </w:rPr>
        <w:t>Стыковка внешнего аппарата, выгрузка топлива и сырья, приём загрязнённого груза, возврат образцов и транспорт между цилиндрами должны иметь разные протоколы. Нельзя считать один причальный интерфейс достаточным только потому, что он геометрически совместим: нужна проверка давления, вращения, электрики, радиации, пожарной безопасности и цепочки ответственности перевозчика.</w:t>
      </w:r>
    </w:p>
    <w:p>
      <w:pPr>
        <w:pStyle w:val="Heading2"/>
        <w:keepNext/>
        <w:pageBreakBefore w:val="0"/>
        <w:spacing w:after="40"/>
      </w:pPr>
      <w:r>
        <w:rPr>
          <w:rFonts w:ascii="Times New Roman" w:hAnsi="Times New Roman" w:eastAsia="Times New Roman"/>
          <w:b/>
          <w:i w:val="0"/>
          <w:color w:val="2F5D83"/>
          <w:sz w:val="25"/>
        </w:rPr>
        <w:t>19.10. Орбитальная навигация, связь и космическая среда</w:t>
      </w:r>
    </w:p>
    <w:p>
      <w:pPr>
        <w:pageBreakBefore w:val="0"/>
        <w:spacing w:after="80" w:line="269" w:lineRule="auto"/>
        <w:ind w:firstLine="397"/>
      </w:pPr>
      <w:r>
        <w:rPr>
          <w:rFonts w:ascii="Times New Roman" w:hAnsi="Times New Roman" w:eastAsia="Times New Roman"/>
          <w:b w:val="0"/>
          <w:i w:val="0"/>
          <w:color w:val="20252B"/>
          <w:sz w:val="20"/>
        </w:rPr>
        <w:t>Для положения в L1 нужны независимые эфемериды, навигационные датчики, синхронизация времени, автономное определение ориентации, коррекция станции и безопасный режим при потере связи с Землёй. Система должна учитывать солнечную активность, радиационные события, плазменные возмущения, микрометеороиды, космический мусор и ограничения на работу антенн и внешних механизмов.</w:t>
      </w:r>
    </w:p>
    <w:p>
      <w:pPr>
        <w:pageBreakBefore w:val="0"/>
        <w:spacing w:after="80" w:line="269" w:lineRule="auto"/>
        <w:ind w:firstLine="397"/>
      </w:pPr>
      <w:r>
        <w:rPr>
          <w:rFonts w:ascii="Times New Roman" w:hAnsi="Times New Roman" w:eastAsia="Times New Roman"/>
          <w:b w:val="0"/>
          <w:i w:val="0"/>
          <w:color w:val="20252B"/>
          <w:sz w:val="20"/>
        </w:rPr>
        <w:t>Связной контур должен иметь раздельные каналы управления, научных данных, аварийного оповещения и бытового трафика. Нужны протоколы задержки 5 секунд в одну сторону, очередность сообщений, аутентификация команд, независимая запись телеметрии и возможность безопасно продолжать эксплуатацию без связи с Землёй в течение заранее установленного времени.</w:t>
      </w:r>
    </w:p>
    <w:p>
      <w:pPr>
        <w:pStyle w:val="Heading2"/>
        <w:keepNext/>
        <w:pageBreakBefore w:val="0"/>
        <w:spacing w:after="40"/>
      </w:pPr>
      <w:r>
        <w:rPr>
          <w:rFonts w:ascii="Times New Roman" w:hAnsi="Times New Roman" w:eastAsia="Times New Roman"/>
          <w:b/>
          <w:i w:val="0"/>
          <w:color w:val="2F5D83"/>
          <w:sz w:val="25"/>
        </w:rPr>
        <w:t>19.11. Программное обеспечение, цифровая модель и данные</w:t>
      </w:r>
    </w:p>
    <w:p>
      <w:pPr>
        <w:pageBreakBefore w:val="0"/>
        <w:spacing w:after="80" w:line="269" w:lineRule="auto"/>
        <w:ind w:firstLine="397"/>
      </w:pPr>
      <w:r>
        <w:rPr>
          <w:rFonts w:ascii="Times New Roman" w:hAnsi="Times New Roman" w:eastAsia="Times New Roman"/>
          <w:b w:val="0"/>
          <w:i w:val="0"/>
          <w:color w:val="20252B"/>
          <w:sz w:val="20"/>
        </w:rPr>
        <w:t>Для каждой критической функции необходимы идентификатор требования, источник, версия, проверяемый критерий, результат испытания и утверждённый владелец. Расчётные скрипты, модели, исходные данные и генераторы рисунков должны иметь контроль версий, воспроизводимую среду, журнал изменений и независимую проверку. Результат программы без зафиксированной версии входных данных не может считаться доказательством.</w:t>
      </w:r>
    </w:p>
    <w:p>
      <w:pPr>
        <w:pageBreakBefore w:val="0"/>
        <w:spacing w:after="80" w:line="269" w:lineRule="auto"/>
        <w:ind w:firstLine="397"/>
      </w:pPr>
      <w:r>
        <w:rPr>
          <w:rFonts w:ascii="Times New Roman" w:hAnsi="Times New Roman" w:eastAsia="Times New Roman"/>
          <w:b w:val="0"/>
          <w:i w:val="0"/>
          <w:color w:val="20252B"/>
          <w:sz w:val="20"/>
        </w:rPr>
        <w:t>Цифровой двойник станции должен поддерживать не только красивую визуализацию, но и сценарии отказов: давление, вращение, тепловой баланс, транспорт, энергетику, атмосферу, биосферу и связь. Необходимо разделить модель для проектирования, модель для обучения и модель, допущенную к управлению реальным объектом; обновление последней должно проходить независимую валидацию.</w:t>
      </w:r>
    </w:p>
    <w:p>
      <w:pPr>
        <w:pStyle w:val="Heading2"/>
        <w:keepNext/>
        <w:pageBreakBefore w:val="0"/>
        <w:spacing w:after="40"/>
      </w:pPr>
      <w:r>
        <w:rPr>
          <w:rFonts w:ascii="Times New Roman" w:hAnsi="Times New Roman" w:eastAsia="Times New Roman"/>
          <w:b/>
          <w:i w:val="0"/>
          <w:color w:val="2F5D83"/>
          <w:sz w:val="25"/>
        </w:rPr>
        <w:t>19.12. Производство, качество и цепочка поставок</w:t>
      </w:r>
    </w:p>
    <w:p>
      <w:pPr>
        <w:pageBreakBefore w:val="0"/>
        <w:spacing w:after="80" w:line="269" w:lineRule="auto"/>
        <w:ind w:firstLine="397"/>
      </w:pPr>
      <w:r>
        <w:rPr>
          <w:rFonts w:ascii="Times New Roman" w:hAnsi="Times New Roman" w:eastAsia="Times New Roman"/>
          <w:b w:val="0"/>
          <w:i w:val="0"/>
          <w:color w:val="20252B"/>
          <w:sz w:val="20"/>
        </w:rPr>
        <w:t>До изготовления первого цилиндра требуется план качества: квалификация поставщиков, сертификаты сырья, прослеживаемость плавки и сварки, калибровка измерительного оборудования, неразрушающий контроль, контроль загрязнений, хранение электронных записей и независимый инспектор. Для узлов первой категории должна быть известна не только проектная прочность, но и допустимая дефектность, критерии брака и порядок ремонта.</w:t>
      </w:r>
    </w:p>
    <w:p>
      <w:pPr>
        <w:pageBreakBefore w:val="0"/>
        <w:spacing w:after="80" w:line="269" w:lineRule="auto"/>
        <w:ind w:firstLine="397"/>
      </w:pPr>
      <w:r>
        <w:rPr>
          <w:rFonts w:ascii="Times New Roman" w:hAnsi="Times New Roman" w:eastAsia="Times New Roman"/>
          <w:b w:val="0"/>
          <w:i w:val="0"/>
          <w:color w:val="20252B"/>
          <w:sz w:val="20"/>
        </w:rPr>
        <w:t>Запасные части и расходные материалы должны быть рассчитаны на весь срок эксплуатации с учётом деградации поставщиков, смены технологий, отказа внешней торговли и невозможности быстро доставить деталь с Земли. Для каждой критической детали нужен либо запас на станции, либо возможность изготовления из доступного сырья, либо приемлемый безопасный режим без неё.</w:t>
      </w:r>
    </w:p>
    <w:p>
      <w:pPr>
        <w:pStyle w:val="Heading2"/>
        <w:keepNext/>
        <w:pageBreakBefore w:val="0"/>
        <w:spacing w:after="40"/>
      </w:pPr>
      <w:r>
        <w:rPr>
          <w:rFonts w:ascii="Times New Roman" w:hAnsi="Times New Roman" w:eastAsia="Times New Roman"/>
          <w:b/>
          <w:i w:val="0"/>
          <w:color w:val="2F5D83"/>
          <w:sz w:val="25"/>
        </w:rPr>
        <w:t>19.13. Эксплуатация, обучение и человеческий фактор</w:t>
      </w:r>
    </w:p>
    <w:p>
      <w:pPr>
        <w:pageBreakBefore w:val="0"/>
        <w:spacing w:after="80" w:line="269" w:lineRule="auto"/>
        <w:ind w:firstLine="397"/>
      </w:pPr>
      <w:r>
        <w:rPr>
          <w:rFonts w:ascii="Times New Roman" w:hAnsi="Times New Roman" w:eastAsia="Times New Roman"/>
          <w:b w:val="0"/>
          <w:i w:val="0"/>
          <w:color w:val="20252B"/>
          <w:sz w:val="20"/>
        </w:rPr>
        <w:t>Нужна матрица компетенций для экипажа, операторов, медиков, инспекторов, ремонтников и руководителей аварий. Она должна включать первоначальное обучение, регулярную сертификацию, тренажёры, работу в сменах, усталость, передачу дежурства, языковые правила, контроль доступа и право остановить опасную операцию. Надёжность автоматики не отменяет требований к понятности интерфейсов и совместимости действий разных служб.</w:t>
      </w:r>
    </w:p>
    <w:p>
      <w:pPr>
        <w:pStyle w:val="Heading2"/>
        <w:keepNext/>
        <w:pageBreakBefore w:val="0"/>
        <w:spacing w:after="40"/>
      </w:pPr>
      <w:r>
        <w:rPr>
          <w:rFonts w:ascii="Times New Roman" w:hAnsi="Times New Roman" w:eastAsia="Times New Roman"/>
          <w:b/>
          <w:i w:val="0"/>
          <w:color w:val="2F5D83"/>
          <w:sz w:val="25"/>
        </w:rPr>
        <w:t>19.14. Финансирование, страхование и закупки</w:t>
      </w:r>
    </w:p>
    <w:p>
      <w:pPr>
        <w:pageBreakBefore w:val="0"/>
        <w:spacing w:after="80" w:line="269" w:lineRule="auto"/>
        <w:ind w:firstLine="397"/>
      </w:pPr>
      <w:r>
        <w:rPr>
          <w:rFonts w:ascii="Times New Roman" w:hAnsi="Times New Roman" w:eastAsia="Times New Roman"/>
          <w:b w:val="0"/>
          <w:i w:val="0"/>
          <w:color w:val="20252B"/>
          <w:sz w:val="20"/>
        </w:rPr>
        <w:t>Экономический раздел правильно указывает невозможность текущей денежной оценки, но для перехода к проектированию понадобится финансовая модель по этапам: научно-исследовательская программа, демонстраторы, добыча, запуск, сборка, испытания, заселение, эксплуатация и вывод из эксплуатации. Нужны источники капитала, порядок владения, закупочные правила, страхование ответственности, покрытие аварий и резерв на неизвестные расходы.</w:t>
      </w:r>
    </w:p>
    <w:p>
      <w:pPr>
        <w:pageBreakBefore w:val="0"/>
        <w:spacing w:after="80" w:line="269" w:lineRule="auto"/>
        <w:ind w:firstLine="397"/>
      </w:pPr>
      <w:r>
        <w:rPr>
          <w:rFonts w:ascii="Times New Roman" w:hAnsi="Times New Roman" w:eastAsia="Times New Roman"/>
          <w:b w:val="0"/>
          <w:i w:val="0"/>
          <w:color w:val="20252B"/>
          <w:sz w:val="20"/>
        </w:rPr>
        <w:t>Договоры должны разделять стоимость и ответственность между российским оператором, перевозчиком, подрядчиками, государством разрешения и государством регистрации. Необходимо отдельно проверить экспортный контроль, передачу технологий, режимы связи, радиочастоты, страхование радиоактивных материалов, трудовые отношения и признание документов жителей разных государств.</w:t>
      </w:r>
    </w:p>
    <w:p>
      <w:pPr>
        <w:pStyle w:val="Heading2"/>
        <w:keepNext/>
        <w:pageBreakBefore w:val="0"/>
        <w:spacing w:after="40"/>
      </w:pPr>
      <w:r>
        <w:rPr>
          <w:rFonts w:ascii="Times New Roman" w:hAnsi="Times New Roman" w:eastAsia="Times New Roman"/>
          <w:b/>
          <w:i w:val="0"/>
          <w:color w:val="2F5D83"/>
          <w:sz w:val="25"/>
        </w:rPr>
        <w:t>19.15. Измерения и неопределённости</w:t>
      </w:r>
    </w:p>
    <w:p>
      <w:pPr>
        <w:pageBreakBefore w:val="0"/>
        <w:spacing w:after="80" w:line="269" w:lineRule="auto"/>
        <w:ind w:firstLine="397"/>
      </w:pPr>
      <w:r>
        <w:rPr>
          <w:rFonts w:ascii="Times New Roman" w:hAnsi="Times New Roman" w:eastAsia="Times New Roman"/>
          <w:b w:val="0"/>
          <w:i w:val="0"/>
          <w:color w:val="20252B"/>
          <w:sz w:val="20"/>
        </w:rPr>
        <w:t>Для ключевых величин должны быть указаны диапазон неопределённости, чувствительность результата и статус: измерено, взято из источника, вычислено, принято как допущение или является иллюстративной оценкой. Эти категории следует фиксировать в таблицах и учитывать в итоговых балансах.</w:t>
      </w:r>
    </w:p>
    <w:p>
      <w:pPr>
        <w:pageBreakBefore w:val="0"/>
        <w:spacing w:after="80" w:line="269" w:lineRule="auto"/>
        <w:ind w:firstLine="397"/>
      </w:pPr>
      <w:r>
        <w:rPr>
          <w:rFonts w:ascii="Times New Roman" w:hAnsi="Times New Roman" w:eastAsia="Times New Roman"/>
          <w:b w:val="0"/>
          <w:i w:val="0"/>
          <w:color w:val="20252B"/>
          <w:sz w:val="20"/>
        </w:rPr>
        <w:t>Для критических величин требуется бюджет неопределённости: радиус и толщина оболочки, напряжение, баланс кислорода и углекислого газа, производительность биореакторов, расход воды, площадь радиаторов, мощность реакторов, доля открытого металла, дозовая нагрузка и пропускная способность эвакуации. Значения с большим числом значащих цифр без такого бюджета должны быть округлены.</w:t>
      </w:r>
    </w:p>
    <w:p>
      <w:pPr>
        <w:pStyle w:val="Heading2"/>
        <w:keepNext/>
        <w:pageBreakBefore w:val="0"/>
        <w:spacing w:after="40"/>
      </w:pPr>
      <w:r>
        <w:rPr>
          <w:rFonts w:ascii="Times New Roman" w:hAnsi="Times New Roman" w:eastAsia="Times New Roman"/>
          <w:b/>
          <w:i w:val="0"/>
          <w:color w:val="2F5D83"/>
          <w:sz w:val="25"/>
        </w:rPr>
        <w:t>19.16. Ворота готовности проекта</w:t>
      </w:r>
    </w:p>
    <w:p>
      <w:pPr>
        <w:pageBreakBefore w:val="0"/>
        <w:spacing w:after="80" w:line="269" w:lineRule="auto"/>
        <w:ind w:firstLine="397"/>
      </w:pPr>
      <w:r>
        <w:rPr>
          <w:rFonts w:ascii="Times New Roman" w:hAnsi="Times New Roman" w:eastAsia="Times New Roman"/>
          <w:b w:val="0"/>
          <w:i w:val="0"/>
          <w:color w:val="20252B"/>
          <w:sz w:val="20"/>
        </w:rPr>
        <w:t>Переход к следующей стадии должен происходить через формальные ворота. Ворота 0 — утверждённые требования и границы ответственности. Ворота 1 — проверенная физическая концепция и баланс ресурсов. Ворота 2 — демонстраторы критических технологий. Ворота 3 — предварительный проект с независимой экспертизой. Ворота 4 — рабочая конструкторская документация и квалифицированные поставщики. Ворота 5 — сборка, беспилотные испытания и сертификация. Ворота 6 — ввод экипажа после независимого акта готовности. Ни заселение, ни заявление о государственности не должны использоваться как замена пропущенному техническому воротному решению.</w:t>
      </w:r>
    </w:p>
    <w:p>
      <w:pPr>
        <w:pageBreakBefore w:val="0"/>
        <w:spacing w:after="80" w:line="269" w:lineRule="auto"/>
        <w:ind w:firstLine="397"/>
      </w:pPr>
      <w:r>
        <w:rPr>
          <w:rFonts w:ascii="Times New Roman" w:hAnsi="Times New Roman" w:eastAsia="Times New Roman"/>
          <w:b w:val="0"/>
          <w:i w:val="0"/>
          <w:color w:val="20252B"/>
          <w:sz w:val="20"/>
        </w:rPr>
        <w:t>До прохождения этих ворот документ остаётся концептуальным проектом. Открытые задачи не являются недостатком оформления: они являются частью достоверного результата, поскольку показывают, какие положения требуют эксперимента, договора, лицензии или нового расчёта.</w:t>
      </w:r>
    </w:p>
    <w:p>
      <w:pPr>
        <w:spacing w:before="200"/>
        <w:jc w:val="center"/>
      </w:pPr>
      <w:r>
        <w:rPr>
          <w:b/>
          <w:color w:val="2E5496"/>
          <w:sz w:val="17"/>
        </w:rPr>
        <w:t>ENGLISH EDITION</w:t>
      </w:r>
    </w:p>
    <w:p>
      <w:pPr>
        <w:pStyle w:val="Heading1"/>
        <w:keepNext/>
        <w:pageBreakBefore w:val="0"/>
        <w:spacing w:after="40"/>
      </w:pPr>
      <w:r>
        <w:rPr>
          <w:rFonts w:ascii="Times New Roman" w:hAnsi="Times New Roman" w:eastAsia="Times New Roman"/>
          <w:b w:val="0"/>
          <w:i w:val="0"/>
          <w:color w:val="20252B"/>
          <w:sz w:val="20"/>
        </w:rPr>
        <w:t>19. SUMMARY OF ADDITIONAL UNSOLVED SYSTEM PROBLEMS</w:t>
      </w:r>
    </w:p>
    <w:p>
      <w:pPr>
        <w:pageBreakBefore w:val="0"/>
        <w:spacing w:after="80" w:line="269" w:lineRule="auto"/>
        <w:ind w:firstLine="397"/>
      </w:pPr>
      <w:r>
        <w:rPr>
          <w:rFonts w:ascii="Times New Roman" w:hAnsi="Times New Roman" w:eastAsia="Times New Roman"/>
          <w:b w:val="0"/>
          <w:i w:val="0"/>
          <w:color w:val="20252B"/>
          <w:sz w:val="20"/>
        </w:rPr>
        <w:t>There remain tasks that require test samples, lengthy experiments, independent review, regulatory decision, or changes to the original architecture. The chapter records them as a mandatory program for the next stage.</w:t>
      </w:r>
    </w:p>
    <w:p>
      <w:pPr>
        <w:pStyle w:val="Heading2"/>
        <w:keepNext/>
        <w:pageBreakBefore w:val="0"/>
        <w:spacing w:after="40"/>
      </w:pPr>
      <w:r>
        <w:rPr>
          <w:rFonts w:ascii="Times New Roman" w:hAnsi="Times New Roman" w:eastAsia="Times New Roman"/>
          <w:b w:val="0"/>
          <w:i w:val="0"/>
          <w:color w:val="20252B"/>
          <w:sz w:val="20"/>
        </w:rPr>
        <w:t>19.1. Scarce materials and industrial feasibility</w:t>
      </w:r>
    </w:p>
    <w:p>
      <w:pPr>
        <w:pageBreakBefore w:val="0"/>
        <w:spacing w:after="80" w:line="269" w:lineRule="auto"/>
        <w:ind w:firstLine="397"/>
      </w:pPr>
      <w:r>
        <w:rPr>
          <w:rFonts w:ascii="Times New Roman" w:hAnsi="Times New Roman" w:eastAsia="Times New Roman"/>
          <w:b w:val="0"/>
          <w:i w:val="0"/>
          <w:color w:val="20252B"/>
          <w:sz w:val="20"/>
        </w:rPr>
        <w:t>The need for molybdenum, alloying additives, sealants, magnetic materials, catalysts, sorbents and special polymers must be recalculated over the full life cycle. The balance of asteroidal raw materials alone does not prove the availability of the element: it is necessary to indicate the concentration, extraction, losses, purity, processing energy and return to circulation. For scarce molybdenum, at least three verifiable branches are required: alloy replacement, content reduction without loss of resource, and separate supply from an external source.</w:t>
      </w:r>
    </w:p>
    <w:p>
      <w:pPr>
        <w:pageBreakBefore w:val="0"/>
        <w:spacing w:after="80" w:line="269" w:lineRule="auto"/>
        <w:ind w:firstLine="397"/>
      </w:pPr>
      <w:r>
        <w:rPr>
          <w:rFonts w:ascii="Times New Roman" w:hAnsi="Times New Roman" w:eastAsia="Times New Roman"/>
          <w:b w:val="0"/>
          <w:i w:val="0"/>
          <w:color w:val="20252B"/>
          <w:sz w:val="20"/>
        </w:rPr>
        <w:t>An industrial chain of mining, crushing, beneficiation, smelting, casting, forging, heat treatment, welding and non-destructive testing under plant conditions should be developed. Global analogues of single castings and welded structures cannot be automatically scaled to a shell tens of kilometers long. The weight of equipment, consumables, maintainability and stock of tools must be included in the material and energy balance.</w:t>
      </w:r>
    </w:p>
    <w:p>
      <w:pPr>
        <w:pStyle w:val="Heading2"/>
        <w:keepNext/>
        <w:pageBreakBefore w:val="0"/>
        <w:spacing w:after="40"/>
      </w:pPr>
      <w:r>
        <w:rPr>
          <w:rFonts w:ascii="Times New Roman" w:hAnsi="Times New Roman" w:eastAsia="Times New Roman"/>
          <w:b w:val="0"/>
          <w:i w:val="0"/>
          <w:color w:val="20252B"/>
          <w:sz w:val="20"/>
        </w:rPr>
        <w:t>19.2. Full-scale mechanics, durability and lifespan</w:t>
      </w:r>
    </w:p>
    <w:p>
      <w:pPr>
        <w:pageBreakBefore w:val="0"/>
        <w:spacing w:after="80" w:line="269" w:lineRule="auto"/>
        <w:ind w:firstLine="397"/>
      </w:pPr>
      <w:r>
        <w:rPr>
          <w:rFonts w:ascii="Times New Roman" w:hAnsi="Times New Roman" w:eastAsia="Times New Roman"/>
          <w:b w:val="0"/>
          <w:i w:val="0"/>
          <w:color w:val="20252B"/>
          <w:sz w:val="20"/>
        </w:rPr>
        <w:t>Calculations of the shell, bearing assembly and joint are preliminary before performing an independent finite element model with geometric nonlinearities, local concentrators, welds, temperature fields, residual stresses and emergency modes. Separately, 1,308 MPa of circumferential stress, axial thrust up to 10¹⁰ N, the dynamics of the active ring Ø400 m, mechanical catches and the consequences of loss of the magnetic circuit must be checked.</w:t>
      </w:r>
    </w:p>
    <w:p>
      <w:pPr>
        <w:pageBreakBefore w:val="0"/>
        <w:spacing w:after="80" w:line="269" w:lineRule="auto"/>
        <w:ind w:firstLine="397"/>
      </w:pPr>
      <w:r>
        <w:rPr>
          <w:rFonts w:ascii="Times New Roman" w:hAnsi="Times New Roman" w:eastAsia="Times New Roman"/>
          <w:b w:val="0"/>
          <w:i w:val="0"/>
          <w:color w:val="20252B"/>
          <w:sz w:val="20"/>
        </w:rPr>
        <w:t>Before the station can be assembled, large-scale and full-scale demonstrators are required: a shell segment with a real welded joint; hermetic junction unit; bearing ring; emergency catcher; rotating cabin; temperature-radiation sample of compaction. Testing must include millions of cycles, stop and restart, imbalance, catcher shock, leakage and remote repair.</w:t>
      </w:r>
    </w:p>
    <w:p>
      <w:pPr>
        <w:pStyle w:val="Heading2"/>
        <w:keepNext/>
        <w:pageBreakBefore w:val="0"/>
        <w:spacing w:after="40"/>
      </w:pPr>
      <w:r>
        <w:rPr>
          <w:rFonts w:ascii="Times New Roman" w:hAnsi="Times New Roman" w:eastAsia="Times New Roman"/>
          <w:b w:val="0"/>
          <w:i w:val="0"/>
          <w:color w:val="20252B"/>
          <w:sz w:val="20"/>
        </w:rPr>
        <w:t>19.3. Dynamics of the biosphere and chemistry of the closed atmosphere</w:t>
      </w:r>
    </w:p>
    <w:p>
      <w:pPr>
        <w:pageBreakBefore w:val="0"/>
        <w:spacing w:after="80" w:line="269" w:lineRule="auto"/>
        <w:ind w:firstLine="397"/>
      </w:pPr>
      <w:r>
        <w:rPr>
          <w:rFonts w:ascii="Times New Roman" w:hAnsi="Times New Roman" w:eastAsia="Times New Roman"/>
          <w:b w:val="0"/>
          <w:i w:val="0"/>
          <w:color w:val="20252B"/>
          <w:sz w:val="20"/>
        </w:rPr>
        <w:t>All basic balances must be transferred from a stationary form to a dynamic model with delays, reserves, nonlinearities and failures. We need coherent models of oxygen, carbon dioxide, water, nitrogen, sulfur, methane, humidity, temperature, soil respiration, photosynthesis, technical processing, and population behavior. The sustainability criterion is not the equality of annual income and expenses, but the ability of the system to survive a long-term failure and return to a safe mode.</w:t>
      </w:r>
    </w:p>
    <w:p>
      <w:pPr>
        <w:pageBreakBefore w:val="0"/>
        <w:spacing w:after="80" w:line="269" w:lineRule="auto"/>
        <w:ind w:firstLine="397"/>
      </w:pPr>
      <w:r>
        <w:rPr>
          <w:rFonts w:ascii="Times New Roman" w:hAnsi="Times New Roman" w:eastAsia="Times New Roman"/>
          <w:b w:val="0"/>
          <w:i w:val="0"/>
          <w:color w:val="20252B"/>
          <w:sz w:val="20"/>
        </w:rPr>
        <w:t>Trace pollutants—volatile organic compounds, ammonia, hydrogen sulfide, methane, ozone, aldehydes, aerosols, corrosion products, and microbial metabolites—require a list of sources, sensors, concentration limits, sorbents, catalytic treatment, and investigation procedures. Each substance requires a balance of production and removal, not just a blanket ban on pollution.</w:t>
      </w:r>
    </w:p>
    <w:p>
      <w:pPr>
        <w:pStyle w:val="Heading2"/>
        <w:keepNext/>
        <w:pageBreakBefore w:val="0"/>
        <w:spacing w:after="40"/>
      </w:pPr>
      <w:r>
        <w:rPr>
          <w:rFonts w:ascii="Times New Roman" w:hAnsi="Times New Roman" w:eastAsia="Times New Roman"/>
          <w:b w:val="0"/>
          <w:i w:val="0"/>
          <w:color w:val="20252B"/>
          <w:sz w:val="20"/>
        </w:rPr>
        <w:t>19.4. Lighting, seasons and climate resistance</w:t>
      </w:r>
    </w:p>
    <w:p>
      <w:pPr>
        <w:pageBreakBefore w:val="0"/>
        <w:spacing w:after="80" w:line="269" w:lineRule="auto"/>
        <w:ind w:firstLine="397"/>
      </w:pPr>
      <w:r>
        <w:rPr>
          <w:rFonts w:ascii="Times New Roman" w:hAnsi="Times New Roman" w:eastAsia="Times New Roman"/>
          <w:b w:val="0"/>
          <w:i w:val="0"/>
          <w:color w:val="20252B"/>
          <w:sz w:val="20"/>
        </w:rPr>
        <w:t>The imitation of the daily cycle has already been described, but the influence of long-term seasonal regimes on plants, animals, sleep, psyche, energy consumption and heat balance is not closed. Long-term experiments are required with changes in spectrum, photoperiod, cloudiness, humidity, temperature gradients and landscape reflectivity. The seasonal scenario should have an emergency mode without loss of crops and without exceeding the thermal power of the axial light-thermal beam.</w:t>
      </w:r>
    </w:p>
    <w:p>
      <w:pPr>
        <w:pStyle w:val="Heading2"/>
        <w:keepNext/>
        <w:pageBreakBefore w:val="0"/>
        <w:spacing w:after="40"/>
      </w:pPr>
      <w:r>
        <w:rPr>
          <w:rFonts w:ascii="Times New Roman" w:hAnsi="Times New Roman" w:eastAsia="Times New Roman"/>
          <w:b w:val="0"/>
          <w:i w:val="0"/>
          <w:color w:val="20252B"/>
          <w:sz w:val="20"/>
        </w:rPr>
        <w:t>19.5. Human physiology, pregnancy and child development</w:t>
      </w:r>
    </w:p>
    <w:p>
      <w:pPr>
        <w:pageBreakBefore w:val="0"/>
        <w:spacing w:after="80" w:line="269" w:lineRule="auto"/>
        <w:ind w:firstLine="397"/>
      </w:pPr>
      <w:r>
        <w:rPr>
          <w:rFonts w:ascii="Times New Roman" w:hAnsi="Times New Roman" w:eastAsia="Times New Roman"/>
          <w:b w:val="0"/>
          <w:i w:val="0"/>
          <w:color w:val="20252B"/>
          <w:sz w:val="20"/>
        </w:rPr>
        <w:t>The assumption of the suitability of artificial gravity does not replace the medical program. We need studies of the vestibular system, cardiovascular system, bones, muscles, vision, sleep, pregnancy, childbirth, child growth, puberty and aging with a gravity gradient from axis to rim. Before obtaining data, restrictions on zones, age, length of stay and medical contraindications must be established.</w:t>
      </w:r>
    </w:p>
    <w:p>
      <w:pPr>
        <w:pageBreakBefore w:val="0"/>
        <w:spacing w:after="80" w:line="269" w:lineRule="auto"/>
        <w:ind w:firstLine="397"/>
      </w:pPr>
      <w:r>
        <w:rPr>
          <w:rFonts w:ascii="Times New Roman" w:hAnsi="Times New Roman" w:eastAsia="Times New Roman"/>
          <w:b w:val="0"/>
          <w:i w:val="0"/>
          <w:color w:val="20252B"/>
          <w:sz w:val="20"/>
        </w:rPr>
        <w:t>The medical system must include telemedicine with Earth, surgical care, dentistry, laboratory diagnostics, infection control, pharmaceutical production and evacuation of a critical patient. We need a supply of medications and consumables, independent power supply to medical areas, protection of medical data, and a decision-making procedure in the event of a conflict of interest between treatment and preservation of a critical system.</w:t>
      </w:r>
    </w:p>
    <w:p>
      <w:pPr>
        <w:pStyle w:val="Heading2"/>
        <w:keepNext/>
        <w:pageBreakBefore w:val="0"/>
        <w:spacing w:after="40"/>
      </w:pPr>
      <w:r>
        <w:rPr>
          <w:rFonts w:ascii="Times New Roman" w:hAnsi="Times New Roman" w:eastAsia="Times New Roman"/>
          <w:b w:val="0"/>
          <w:i w:val="0"/>
          <w:color w:val="20252B"/>
          <w:sz w:val="20"/>
        </w:rPr>
        <w:t>19.6. Epidemiology, quarantine and biological safety</w:t>
      </w:r>
    </w:p>
    <w:p>
      <w:pPr>
        <w:pageBreakBefore w:val="0"/>
        <w:spacing w:after="80" w:line="269" w:lineRule="auto"/>
        <w:ind w:firstLine="397"/>
      </w:pPr>
      <w:r>
        <w:rPr>
          <w:rFonts w:ascii="Times New Roman" w:hAnsi="Times New Roman" w:eastAsia="Times New Roman"/>
          <w:b w:val="0"/>
          <w:i w:val="0"/>
          <w:color w:val="20252B"/>
          <w:sz w:val="20"/>
        </w:rPr>
        <w:t>The closed volume makes any introduction of a pathogen both a medical and an engineering event. Quarantine circuits are required for crew, cargo, samples, and returned materials; independent air and drains; early diagnostic laboratories; stock of protective equipment; contact investigation procedure; restrictions on movement and communication during the outbreak. Clean zones should be linked to planetary protection and not exist only as a cleaning regime.</w:t>
      </w:r>
    </w:p>
    <w:p>
      <w:pPr>
        <w:pageBreakBefore w:val="0"/>
        <w:spacing w:after="80" w:line="269" w:lineRule="auto"/>
        <w:ind w:firstLine="397"/>
      </w:pPr>
      <w:r>
        <w:rPr>
          <w:rFonts w:ascii="Times New Roman" w:hAnsi="Times New Roman" w:eastAsia="Times New Roman"/>
          <w:b w:val="0"/>
          <w:i w:val="0"/>
          <w:color w:val="20252B"/>
          <w:sz w:val="20"/>
        </w:rPr>
        <w:t>Transfer of terrestrial soil biota requires a separate assessment of ecosystem stability and the risk of displacement of beneficial species. The project should have a register of intentionally introduced organisms, a system for detecting unscheduled species, a sample bank, biological experiment rules, and a procedure for stopping work if an unknown pathogen or invasive organism appears.</w:t>
      </w:r>
    </w:p>
    <w:p>
      <w:pPr>
        <w:pStyle w:val="Heading2"/>
        <w:keepNext/>
        <w:pageBreakBefore w:val="0"/>
        <w:spacing w:after="40"/>
      </w:pPr>
      <w:r>
        <w:rPr>
          <w:rFonts w:ascii="Times New Roman" w:hAnsi="Times New Roman" w:eastAsia="Times New Roman"/>
          <w:b w:val="0"/>
          <w:i w:val="0"/>
          <w:color w:val="20252B"/>
          <w:sz w:val="20"/>
        </w:rPr>
        <w:t>19.7. Fire, smoke and materials toxicology</w:t>
      </w:r>
    </w:p>
    <w:p>
      <w:pPr>
        <w:pageBreakBefore w:val="0"/>
        <w:spacing w:after="80" w:line="269" w:lineRule="auto"/>
        <w:ind w:firstLine="397"/>
      </w:pPr>
      <w:r>
        <w:rPr>
          <w:rFonts w:ascii="Times New Roman" w:hAnsi="Times New Roman" w:eastAsia="Times New Roman"/>
          <w:b w:val="0"/>
          <w:i w:val="0"/>
          <w:color w:val="20252B"/>
          <w:sz w:val="20"/>
        </w:rPr>
        <w:t>The ban on open burning does not eliminate the risk of short circuits, overheating, smoldering, pyrolysis of polymers, fire of cables, batteries, hydrogen and organic raw materials. For all materials, tests are required for flammability, smoke production, toxicity of decomposition products, rate of fire spread and suitability of extinguishing agents in artificial gravity. The system must be able to isolate a section, maintain the respiratory atmosphere of adjacent sections, and not create secondary poisoning with the fire extinguishing agent.</w:t>
      </w:r>
    </w:p>
    <w:p>
      <w:pPr>
        <w:pStyle w:val="Heading2"/>
        <w:keepNext/>
        <w:pageBreakBefore w:val="0"/>
        <w:spacing w:after="40"/>
      </w:pPr>
      <w:r>
        <w:rPr>
          <w:rFonts w:ascii="Times New Roman" w:hAnsi="Times New Roman" w:eastAsia="Times New Roman"/>
          <w:b w:val="0"/>
          <w:i w:val="0"/>
          <w:color w:val="20252B"/>
          <w:sz w:val="20"/>
        </w:rPr>
        <w:t>19.8. Energy, thermal and water transitions</w:t>
      </w:r>
    </w:p>
    <w:p>
      <w:pPr>
        <w:pageBreakBefore w:val="0"/>
        <w:spacing w:after="80" w:line="269" w:lineRule="auto"/>
        <w:ind w:firstLine="397"/>
      </w:pPr>
      <w:r>
        <w:rPr>
          <w:rFonts w:ascii="Times New Roman" w:hAnsi="Times New Roman" w:eastAsia="Times New Roman"/>
          <w:b w:val="0"/>
          <w:i w:val="0"/>
          <w:color w:val="20252B"/>
          <w:sz w:val="20"/>
        </w:rPr>
        <w:t>The annual energy balance does not prove robust to rapid load changes. We need scenarios of a black start, loss of one or several reactors, stepwise shutdown of lighting, rupture of the cold circuit, overheating of radiators, freezing of technical areas, failure of batteries and reconnection of large consumers. Each scenario must have minimum levels of air, water, heat, communications and lighting.</w:t>
      </w:r>
    </w:p>
    <w:p>
      <w:pPr>
        <w:pageBreakBefore w:val="0"/>
        <w:spacing w:after="80" w:line="269" w:lineRule="auto"/>
        <w:ind w:firstLine="397"/>
      </w:pPr>
      <w:r>
        <w:rPr>
          <w:rFonts w:ascii="Times New Roman" w:hAnsi="Times New Roman" w:eastAsia="Times New Roman"/>
          <w:b w:val="0"/>
          <w:i w:val="0"/>
          <w:color w:val="20252B"/>
          <w:sz w:val="20"/>
        </w:rPr>
        <w:t>The water cycle needs to be modeled hourly and daily: leaks, condensation, treatment, emergency reserves, pollution, separation of drinking and process water, fire reserves, irrigation and industrial needs. Recovery from the loss of one treatment cascade must be verified by a physical demonstrator, not just pump redundancy.</w:t>
      </w:r>
    </w:p>
    <w:p>
      <w:pPr>
        <w:pStyle w:val="Heading2"/>
        <w:keepNext/>
        <w:pageBreakBefore w:val="0"/>
        <w:spacing w:after="40"/>
      </w:pPr>
      <w:r>
        <w:rPr>
          <w:rFonts w:ascii="Times New Roman" w:hAnsi="Times New Roman" w:eastAsia="Times New Roman"/>
          <w:b w:val="0"/>
          <w:i w:val="0"/>
          <w:color w:val="20252B"/>
          <w:sz w:val="20"/>
        </w:rPr>
        <w:t>19.9. Transport, cargo flow and rescue</w:t>
      </w:r>
    </w:p>
    <w:p>
      <w:pPr>
        <w:pageBreakBefore w:val="0"/>
        <w:spacing w:after="80" w:line="269" w:lineRule="auto"/>
        <w:ind w:firstLine="397"/>
      </w:pPr>
      <w:r>
        <w:rPr>
          <w:rFonts w:ascii="Times New Roman" w:hAnsi="Times New Roman" w:eastAsia="Times New Roman"/>
          <w:b w:val="0"/>
          <w:i w:val="0"/>
          <w:color w:val="20252B"/>
          <w:sz w:val="20"/>
        </w:rPr>
        <w:t>The capacity of shafts and corridors must be compared not only with occupancy, but also with mass evacuations, medical transportation, fire trains, cargo, repair crews and oncoming traffic. Requires normal and emergency scheduling, priorities, shelter locations, power loss braking, manual control, cabin rescue, and quarantine compatibility.</w:t>
      </w:r>
    </w:p>
    <w:p>
      <w:pPr>
        <w:pageBreakBefore w:val="0"/>
        <w:spacing w:after="80" w:line="269" w:lineRule="auto"/>
        <w:ind w:firstLine="397"/>
      </w:pPr>
      <w:r>
        <w:rPr>
          <w:rFonts w:ascii="Times New Roman" w:hAnsi="Times New Roman" w:eastAsia="Times New Roman"/>
          <w:b w:val="0"/>
          <w:i w:val="0"/>
          <w:color w:val="20252B"/>
          <w:sz w:val="20"/>
        </w:rPr>
        <w:t>Docking of the external apparatus, unloading of fuel and raw materials, acceptance of contaminated cargo, return of samples and transport between cylinders must have different protocols. One berth interface cannot be considered sufficient just because it is geometrically compatible: pressure, rotation, electrical, radiation, fire safety and the carrier's chain of responsibility must be checked.</w:t>
      </w:r>
    </w:p>
    <w:p>
      <w:pPr>
        <w:pStyle w:val="Heading2"/>
        <w:keepNext/>
        <w:pageBreakBefore w:val="0"/>
        <w:spacing w:after="40"/>
      </w:pPr>
      <w:r>
        <w:rPr>
          <w:rFonts w:ascii="Times New Roman" w:hAnsi="Times New Roman" w:eastAsia="Times New Roman"/>
          <w:b w:val="0"/>
          <w:i w:val="0"/>
          <w:color w:val="20252B"/>
          <w:sz w:val="20"/>
        </w:rPr>
        <w:t>19.10. Orbital navigation, communications and space environment</w:t>
      </w:r>
    </w:p>
    <w:p>
      <w:pPr>
        <w:pageBreakBefore w:val="0"/>
        <w:spacing w:after="80" w:line="269" w:lineRule="auto"/>
        <w:ind w:firstLine="397"/>
      </w:pPr>
      <w:r>
        <w:rPr>
          <w:rFonts w:ascii="Times New Roman" w:hAnsi="Times New Roman" w:eastAsia="Times New Roman"/>
          <w:b w:val="0"/>
          <w:i w:val="0"/>
          <w:color w:val="20252B"/>
          <w:sz w:val="20"/>
        </w:rPr>
        <w:t>The L1 position requires independent ephemeris, navigation sensors, time synchronization, autonomous attitude determination, station correction, and a fail-safe mode in case of loss of contact with Earth. The system must take into account solar activity, radiation events, plasma disturbances, micrometeoroids, space debris, and limitations on the operation of antennas and external mechanisms.</w:t>
      </w:r>
    </w:p>
    <w:p>
      <w:pPr>
        <w:pageBreakBefore w:val="0"/>
        <w:spacing w:after="80" w:line="269" w:lineRule="auto"/>
        <w:ind w:firstLine="397"/>
      </w:pPr>
      <w:r>
        <w:rPr>
          <w:rFonts w:ascii="Times New Roman" w:hAnsi="Times New Roman" w:eastAsia="Times New Roman"/>
          <w:b w:val="0"/>
          <w:i w:val="0"/>
          <w:color w:val="20252B"/>
          <w:sz w:val="20"/>
        </w:rPr>
        <w:t>The communication circuit must have separate channels for control, scientific data, emergency notification and household traffic. Requirements include 5 second one-way delay protocols, message queuing, command authentication, independent telemetry recording, and the ability to safely continue operation without contact with Earth for a predetermined amount of time.</w:t>
      </w:r>
    </w:p>
    <w:p>
      <w:pPr>
        <w:pStyle w:val="Heading2"/>
        <w:keepNext/>
        <w:pageBreakBefore w:val="0"/>
        <w:spacing w:after="40"/>
      </w:pPr>
      <w:r>
        <w:rPr>
          <w:rFonts w:ascii="Times New Roman" w:hAnsi="Times New Roman"/>
        </w:rPr>
        <w:t>19.11. Software, digital model and data</w:t>
      </w:r>
    </w:p>
    <w:p>
      <w:pPr>
        <w:pageBreakBefore w:val="0"/>
        <w:spacing w:after="80" w:line="269" w:lineRule="auto"/>
        <w:ind w:firstLine="397"/>
      </w:pPr>
      <w:r>
        <w:rPr>
          <w:rFonts w:ascii="Times New Roman" w:hAnsi="Times New Roman" w:eastAsia="Times New Roman"/>
          <w:b w:val="0"/>
          <w:i w:val="0"/>
          <w:color w:val="20252B"/>
          <w:sz w:val="20"/>
        </w:rPr>
        <w:t>Each critical function requires a requirement identifier, source, version, criterion being tested, test result, and an approved owner. Calculation scripts, models, source data and figure generators must have version control, a reproducible environment, a change log and independent verification. The output of a program without a fixed version of the input data cannot be considered proof.</w:t>
      </w:r>
    </w:p>
    <w:p>
      <w:pPr>
        <w:pageBreakBefore w:val="0"/>
        <w:spacing w:after="80" w:line="269" w:lineRule="auto"/>
        <w:ind w:firstLine="397"/>
      </w:pPr>
      <w:r>
        <w:rPr>
          <w:rFonts w:ascii="Times New Roman" w:hAnsi="Times New Roman" w:eastAsia="Times New Roman"/>
          <w:b w:val="0"/>
          <w:i w:val="0"/>
          <w:color w:val="20252B"/>
          <w:sz w:val="20"/>
        </w:rPr>
        <w:t>The digital twin of the station must support not only beautiful visualization, but also failure scenarios: pressure, rotation, thermal balance, transport, energy, atmosphere, biosphere and communications. It is necessary to separate the model for design, the model for training and the model allowed to control a real object; updating of the latter must be independently validated.</w:t>
      </w:r>
    </w:p>
    <w:p>
      <w:pPr>
        <w:pStyle w:val="Heading2"/>
        <w:keepNext/>
        <w:pageBreakBefore w:val="0"/>
        <w:spacing w:after="40"/>
      </w:pPr>
      <w:r>
        <w:rPr>
          <w:rFonts w:ascii="Times New Roman" w:hAnsi="Times New Roman" w:eastAsia="Times New Roman"/>
          <w:b w:val="0"/>
          <w:i w:val="0"/>
          <w:color w:val="20252B"/>
          <w:sz w:val="20"/>
        </w:rPr>
        <w:t>19.12. Manufacturing, Quality and Supply Chain</w:t>
      </w:r>
    </w:p>
    <w:p>
      <w:pPr>
        <w:pageBreakBefore w:val="0"/>
        <w:spacing w:after="80" w:line="269" w:lineRule="auto"/>
        <w:ind w:firstLine="397"/>
      </w:pPr>
      <w:r>
        <w:rPr>
          <w:rFonts w:ascii="Times New Roman" w:hAnsi="Times New Roman" w:eastAsia="Times New Roman"/>
          <w:b w:val="0"/>
          <w:i w:val="0"/>
          <w:color w:val="20252B"/>
          <w:sz w:val="20"/>
        </w:rPr>
        <w:t>Before the first cylinder is produced, a quality plan is required: supplier qualifications, raw material certifications, melting and welding traceability, measurement equipment calibration, non-destructive testing, contamination control, electronic record keeping and an independent inspector. For assemblies of the first category, not only the design strength must be known, but also the permissible defectiveness, defect criteria and repair procedure.</w:t>
      </w:r>
    </w:p>
    <w:p>
      <w:pPr>
        <w:pageBreakBefore w:val="0"/>
        <w:spacing w:after="80" w:line="269" w:lineRule="auto"/>
        <w:ind w:firstLine="397"/>
      </w:pPr>
      <w:r>
        <w:rPr>
          <w:rFonts w:ascii="Times New Roman" w:hAnsi="Times New Roman" w:eastAsia="Times New Roman"/>
          <w:b w:val="0"/>
          <w:i w:val="0"/>
          <w:color w:val="20252B"/>
          <w:sz w:val="20"/>
        </w:rPr>
        <w:t>Spare parts and consumables must be designed for the entire service life, taking into account the degradation of suppliers, changes in technology, failure of foreign trade and the inability to quickly deliver a part from Earth. Each critical part requires either a stock at the station, or the ability to be manufactured from available raw materials, or an acceptable safe mode without it.</w:t>
      </w:r>
    </w:p>
    <w:p>
      <w:pPr>
        <w:pStyle w:val="Heading2"/>
        <w:keepNext/>
        <w:pageBreakBefore w:val="0"/>
        <w:spacing w:after="40"/>
      </w:pPr>
      <w:r>
        <w:rPr>
          <w:rFonts w:ascii="Times New Roman" w:hAnsi="Times New Roman" w:eastAsia="Times New Roman"/>
          <w:b w:val="0"/>
          <w:i w:val="0"/>
          <w:color w:val="20252B"/>
          <w:sz w:val="20"/>
        </w:rPr>
        <w:t>19.13. Operation, training and human factors</w:t>
      </w:r>
    </w:p>
    <w:p>
      <w:pPr>
        <w:pageBreakBefore w:val="0"/>
        <w:spacing w:after="80" w:line="269" w:lineRule="auto"/>
        <w:ind w:firstLine="397"/>
      </w:pPr>
      <w:r>
        <w:rPr>
          <w:rFonts w:ascii="Times New Roman" w:hAnsi="Times New Roman" w:eastAsia="Times New Roman"/>
          <w:b w:val="0"/>
          <w:i w:val="0"/>
          <w:color w:val="20252B"/>
          <w:sz w:val="20"/>
        </w:rPr>
        <w:t>A competency matrix is needed for the crew, operators, medics, inspectors, repairmen and emergency managers. This should include initial training, regular certification, training, shift work, fatigue, handover, language rules, access control and the right to stop a dangerous operation. The reliability of automation does not negate the requirements for understandable interfaces and compatibility of actions of different services.</w:t>
      </w:r>
    </w:p>
    <w:p>
      <w:pPr>
        <w:pStyle w:val="Heading2"/>
        <w:keepNext/>
        <w:pageBreakBefore w:val="0"/>
        <w:spacing w:after="40"/>
      </w:pPr>
      <w:r>
        <w:rPr>
          <w:rFonts w:ascii="Times New Roman" w:hAnsi="Times New Roman" w:eastAsia="Times New Roman"/>
          <w:b w:val="0"/>
          <w:i w:val="0"/>
          <w:color w:val="20252B"/>
          <w:sz w:val="20"/>
        </w:rPr>
        <w:t>19.14. Financing, insurance and procurement</w:t>
      </w:r>
    </w:p>
    <w:p>
      <w:pPr>
        <w:pageBreakBefore w:val="0"/>
        <w:spacing w:after="80" w:line="269" w:lineRule="auto"/>
        <w:ind w:firstLine="397"/>
      </w:pPr>
      <w:r>
        <w:rPr>
          <w:rFonts w:ascii="Times New Roman" w:hAnsi="Times New Roman" w:eastAsia="Times New Roman"/>
          <w:b w:val="0"/>
          <w:i w:val="0"/>
          <w:color w:val="20252B"/>
          <w:sz w:val="20"/>
        </w:rPr>
        <w:t>The economic section correctly indicates the impossibility of a current monetary valuation, but to move to design, a financial model will be needed in stages: research program, demonstrators, production, launch, assembly, testing, occupancy, operation and decommissioning. You need sources of capital, ownership arrangements, purchasing rules, liability insurance, accident coverage, and a reserve for unknown costs.</w:t>
      </w:r>
    </w:p>
    <w:p>
      <w:pPr>
        <w:pageBreakBefore w:val="0"/>
        <w:spacing w:after="80" w:line="269" w:lineRule="auto"/>
        <w:ind w:firstLine="397"/>
      </w:pPr>
      <w:r>
        <w:rPr>
          <w:rFonts w:ascii="Times New Roman" w:hAnsi="Times New Roman" w:eastAsia="Times New Roman"/>
          <w:b w:val="0"/>
          <w:i w:val="0"/>
          <w:color w:val="20252B"/>
          <w:sz w:val="20"/>
        </w:rPr>
        <w:t>Contracts must divide costs and responsibilities between the Russian operator, the carrier, contractors, the state of authorization and the state of registration. It is necessary to separately check export controls, technology transfer, communication modes, radio frequencies, insurance of radioactive materials, labor relations and recognition of documents of residents of different countries.</w:t>
      </w:r>
    </w:p>
    <w:p>
      <w:pPr>
        <w:pStyle w:val="Heading2"/>
        <w:keepNext/>
        <w:pageBreakBefore w:val="0"/>
        <w:spacing w:after="40"/>
      </w:pPr>
      <w:r>
        <w:rPr>
          <w:rFonts w:ascii="Times New Roman" w:hAnsi="Times New Roman" w:eastAsia="Times New Roman"/>
          <w:b w:val="0"/>
          <w:i w:val="0"/>
          <w:color w:val="20252B"/>
          <w:sz w:val="20"/>
        </w:rPr>
        <w:t>19.15. Measurements and Uncertainties</w:t>
      </w:r>
    </w:p>
    <w:p>
      <w:pPr>
        <w:pageBreakBefore w:val="0"/>
        <w:spacing w:after="80" w:line="269" w:lineRule="auto"/>
        <w:ind w:firstLine="397"/>
      </w:pPr>
      <w:r>
        <w:rPr>
          <w:rFonts w:ascii="Times New Roman" w:hAnsi="Times New Roman" w:eastAsia="Times New Roman"/>
          <w:b w:val="0"/>
          <w:i w:val="0"/>
          <w:color w:val="20252B"/>
          <w:sz w:val="20"/>
        </w:rPr>
        <w:t>For key quantities, the range of uncertainty, the sensitivity of the result, and the status of measured, derived, calculated, assumed, or illustrative estimate should be stated. These categories should be recorded in tables and included in the final balance sheets.</w:t>
      </w:r>
    </w:p>
    <w:p>
      <w:pPr>
        <w:pageBreakBefore w:val="0"/>
        <w:spacing w:after="80" w:line="269" w:lineRule="auto"/>
        <w:ind w:firstLine="397"/>
      </w:pPr>
      <w:r>
        <w:rPr>
          <w:rFonts w:ascii="Times New Roman" w:hAnsi="Times New Roman" w:eastAsia="Times New Roman"/>
          <w:b w:val="0"/>
          <w:i w:val="0"/>
          <w:color w:val="20252B"/>
          <w:sz w:val="20"/>
        </w:rPr>
        <w:t>For critical quantities, an uncertainty budget is required: the radius and thickness of the shell, voltage, oxygen and carbon dioxide balance, bioreactor productivity, water flow, radiator area, reactor power, fraction of exposed metal, dose load and evacuation capacity. Values with more significant figures without such a budget should be rounded.</w:t>
      </w:r>
    </w:p>
    <w:p>
      <w:pPr>
        <w:pStyle w:val="Heading2"/>
        <w:keepNext/>
        <w:pageBreakBefore w:val="0"/>
        <w:spacing w:after="40"/>
      </w:pPr>
      <w:r>
        <w:rPr>
          <w:rFonts w:ascii="Times New Roman" w:hAnsi="Times New Roman" w:eastAsia="Times New Roman"/>
          <w:b w:val="0"/>
          <w:i w:val="0"/>
          <w:color w:val="20252B"/>
          <w:sz w:val="20"/>
        </w:rPr>
        <w:t>19.16. Project Readiness Gate</w:t>
      </w:r>
    </w:p>
    <w:p>
      <w:pPr>
        <w:pageBreakBefore w:val="0"/>
        <w:spacing w:after="80" w:line="269" w:lineRule="auto"/>
        <w:ind w:firstLine="397"/>
      </w:pPr>
      <w:r>
        <w:rPr>
          <w:rFonts w:ascii="Times New Roman" w:hAnsi="Times New Roman" w:eastAsia="Times New Roman"/>
          <w:b w:val="0"/>
          <w:i w:val="0"/>
          <w:color w:val="20252B"/>
          <w:sz w:val="20"/>
        </w:rPr>
        <w:t>The transition to the next stage must occur through a formal gate. Gate 0 - approved requirements and boundaries of responsibility. Gate 1 is a proven physical concept and resource balance. Gate 2 is a critical technology demonstrator. Gate 3 is a preliminary design with independent review. Gate 4 - working design documentation and qualified suppliers. Gate 5 - assembly, unmanned testing and certification. Gate 6 - entry of the crew after an independent act of readiness. Neither settlement nor a declaration of statehood should be used as a substitute for missing a technical gateway decision.</w:t>
      </w:r>
    </w:p>
    <w:p>
      <w:pPr>
        <w:pageBreakBefore w:val="0"/>
        <w:spacing w:after="80" w:line="269" w:lineRule="auto"/>
        <w:ind w:firstLine="397"/>
      </w:pPr>
      <w:r>
        <w:rPr>
          <w:rFonts w:ascii="Times New Roman" w:hAnsi="Times New Roman" w:eastAsia="Times New Roman"/>
          <w:b w:val="0"/>
          <w:i w:val="0"/>
          <w:color w:val="20252B"/>
          <w:sz w:val="20"/>
        </w:rPr>
        <w:t>Until this gate is passed, the document remains a conceptual draft. Open problems are not a design flaw: they are part of a reliable result, since they show which provisions require an experiment, a contract, a license or a new calculation.</w:t>
      </w:r>
    </w:p>
    <w:p/>
    <w:p>
      <w:pPr>
        <w:spacing w:before="200"/>
        <w:jc w:val="center"/>
      </w:pPr>
      <w:r>
        <w:rPr>
          <w:b/>
          <w:color w:val="2E5496"/>
          <w:sz w:val="17"/>
        </w:rPr>
        <w:t>СПИСОК ЛИТЕРАТУРЫ РАЗДЕЛА / REFERENCES OF THIS SECTION</w:t>
      </w:r>
    </w:p>
    <w:p>
      <w:r>
        <w:rPr>
          <w:i/>
          <w:sz w:val="18"/>
        </w:rPr>
        <w:t>Раздел не опирается на внешние источники: все его величины получены вычислением из параметров, принятых в разделе 2.</w:t>
      </w:r>
    </w:p>
    <w:p>
      <w:r>
        <w:rPr>
          <w:i/>
          <w:sz w:val="18"/>
        </w:rPr>
        <w:t>This section does not rely on external sources: all its values are obtained by computation from the parameters adopted in section 2.</w:t>
      </w:r>
    </w:p>
    <w:sectPr w:rsidR="00FC693F" w:rsidRPr="0006063C" w:rsidSect="00034616">
      <w:pgSz w:w="11906" w:h="16838"/>
      <w:pgMar w:top="1134" w:right="964" w:bottom="1134"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2E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1F3864"/>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