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20 / Section 20</w:t>
      </w:r>
    </w:p>
    <w:p>
      <w:pPr>
        <w:jc w:val="center"/>
      </w:pPr>
      <w:r>
        <w:rPr>
          <w:b/>
          <w:color w:val="1F3864"/>
          <w:sz w:val="26"/>
        </w:rPr>
        <w:t>20. НОСОВЫЕ КУПОЛА КАК ОГРАНИЧЕНИЕ ДАВЛЕНИЯ</w:t>
      </w:r>
    </w:p>
    <w:p>
      <w:pPr>
        <w:jc w:val="center"/>
      </w:pPr>
      <w:r>
        <w:rPr>
          <w:b/>
          <w:color w:val="1F3864"/>
          <w:sz w:val="26"/>
        </w:rPr>
        <w:t>20. NOSE DOMES AS A PRESSURE BOUNDARY</w:t>
      </w:r>
    </w:p>
    <w:p>
      <w:pPr>
        <w:jc w:val="center"/>
      </w:pPr>
      <w:r>
        <w:rPr>
          <w:i/>
          <w:sz w:val="17"/>
        </w:rPr>
        <w:t>Редакция 8 · 31 октября 2026 г.  ·  документ 22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pageBreakBefore/>
      </w:pPr>
      <w:r>
        <w:t>20. НОСОВЫЕ КУПОЛА КАК ОГРАНИЧЕНИЕ ДАВЛЕНИЯ</w:t>
      </w:r>
    </w:p>
    <w:p>
      <w:r>
        <w:t>Торцевые полусферы в настоящей работе до настоящего раздела фигурировали только как технические зоны (п. 2.4) и как место размещения солнечных батарей (п. 7.7). Их работа как ограничения давления не рассчитывалась: раздел 4.2 рассматривает цилиндрическую оболочку, раздел 4.15 — устойчивость её формы, но торец оставался вне анализа. Настоящий раздел закрывает этот пробел.</w:t>
      </w:r>
    </w:p>
    <w:p>
      <w:pPr>
        <w:pStyle w:val="Heading2"/>
      </w:pPr>
      <w:r>
        <w:t>20.1. Геометрия и мембранные напряжения</w:t>
      </w:r>
    </w:p>
    <w:p>
      <w:r>
        <w:t>Торец является половиной сжатого сфероида с полуосями a = 5000 м и c = 4500 м, то есть c/a = 0,900, при толщине силового пояса 850 мм. Для оболочки вращения под внутренним давлением мембранные напряжения на полюсе равны друг другу и составляют σ = p·a²/(2ct); на экваторе меридиальное и окружное напряжения различаются.</w:t>
      </w:r>
    </w:p>
    <w:p>
      <w:pPr>
        <w:pStyle w:val="Caption"/>
        <w:jc w:val="center"/>
      </w:pPr>
      <w:r>
        <w:t>Таблица 20.1 — Мембранные напряжения торца</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969"/>
            <w:shd w:val="clear" w:fill="DEEAF6"/>
          </w:tcPr>
          <w:p>
            <w:pPr>
              <w:jc w:val="center"/>
            </w:pPr>
            <w:r>
              <w:rPr>
                <w:b/>
                <w:sz w:val="16"/>
              </w:rPr>
              <w:t>Величина</w:t>
            </w:r>
          </w:p>
        </w:tc>
        <w:tc>
          <w:tcPr>
            <w:tcW w:type="dxa" w:w="1928"/>
            <w:shd w:val="clear" w:fill="DEEAF6"/>
          </w:tcPr>
          <w:p>
            <w:pPr>
              <w:jc w:val="center"/>
            </w:pPr>
            <w:r>
              <w:rPr>
                <w:b/>
                <w:sz w:val="16"/>
              </w:rPr>
              <w:t>Значение</w:t>
            </w:r>
          </w:p>
        </w:tc>
        <w:tc>
          <w:tcPr>
            <w:tcW w:type="dxa" w:w="3175"/>
            <w:shd w:val="clear" w:fill="DEEAF6"/>
          </w:tcPr>
          <w:p>
            <w:pPr>
              <w:jc w:val="center"/>
            </w:pPr>
            <w:r>
              <w:rPr>
                <w:b/>
                <w:sz w:val="16"/>
              </w:rPr>
              <w:t>Примечание</w:t>
            </w:r>
          </w:p>
        </w:tc>
      </w:tr>
      <w:tr>
        <w:tc>
          <w:tcPr>
            <w:tcW w:type="dxa" w:w="3969"/>
          </w:tcPr>
          <w:p>
            <w:r>
              <w:rPr>
                <w:sz w:val="16"/>
              </w:rPr>
              <w:t>σ на полюсе при p = 1 атм</w:t>
            </w:r>
          </w:p>
        </w:tc>
        <w:tc>
          <w:tcPr>
            <w:tcW w:type="dxa" w:w="1928"/>
          </w:tcPr>
          <w:p>
            <w:pPr>
              <w:jc w:val="center"/>
            </w:pPr>
            <w:r>
              <w:rPr>
                <w:sz w:val="16"/>
              </w:rPr>
              <w:t>331 МПа</w:t>
            </w:r>
          </w:p>
        </w:tc>
        <w:tc>
          <w:tcPr>
            <w:tcW w:type="dxa" w:w="3175"/>
          </w:tcPr>
          <w:p>
            <w:pPr>
              <w:jc w:val="center"/>
            </w:pPr>
            <w:r>
              <w:rPr>
                <w:sz w:val="16"/>
              </w:rPr>
              <w:t>меридиальное = окружное</w:t>
            </w:r>
          </w:p>
        </w:tc>
      </w:tr>
      <w:tr>
        <w:tc>
          <w:tcPr>
            <w:tcW w:type="dxa" w:w="3969"/>
          </w:tcPr>
          <w:p>
            <w:r>
              <w:rPr>
                <w:sz w:val="16"/>
              </w:rPr>
              <w:t>σ меридиальное на экваторе</w:t>
            </w:r>
          </w:p>
        </w:tc>
        <w:tc>
          <w:tcPr>
            <w:tcW w:type="dxa" w:w="1928"/>
          </w:tcPr>
          <w:p>
            <w:pPr>
              <w:jc w:val="center"/>
            </w:pPr>
            <w:r>
              <w:rPr>
                <w:sz w:val="16"/>
              </w:rPr>
              <w:t>298 МПа</w:t>
            </w:r>
          </w:p>
        </w:tc>
        <w:tc>
          <w:tcPr>
            <w:tcW w:type="dxa" w:w="3175"/>
          </w:tcPr>
          <w:p>
            <w:pPr>
              <w:jc w:val="center"/>
            </w:pPr>
          </w:p>
        </w:tc>
      </w:tr>
      <w:tr>
        <w:tc>
          <w:tcPr>
            <w:tcW w:type="dxa" w:w="3969"/>
          </w:tcPr>
          <w:p>
            <w:r>
              <w:rPr>
                <w:sz w:val="16"/>
              </w:rPr>
              <w:t>σ окружное на экваторе</w:t>
            </w:r>
          </w:p>
        </w:tc>
        <w:tc>
          <w:tcPr>
            <w:tcW w:type="dxa" w:w="1928"/>
          </w:tcPr>
          <w:p>
            <w:pPr>
              <w:jc w:val="center"/>
            </w:pPr>
            <w:r>
              <w:rPr>
                <w:sz w:val="16"/>
              </w:rPr>
              <w:t>228 МПа</w:t>
            </w:r>
          </w:p>
        </w:tc>
        <w:tc>
          <w:tcPr>
            <w:tcW w:type="dxa" w:w="3175"/>
          </w:tcPr>
          <w:p>
            <w:pPr>
              <w:jc w:val="center"/>
            </w:pPr>
          </w:p>
        </w:tc>
      </w:tr>
      <w:tr>
        <w:tc>
          <w:tcPr>
            <w:tcW w:type="dxa" w:w="3969"/>
          </w:tcPr>
          <w:p>
            <w:r>
              <w:rPr>
                <w:sz w:val="16"/>
              </w:rPr>
              <w:t>σ кольцевое цилиндра (п. 4.2)</w:t>
            </w:r>
          </w:p>
        </w:tc>
        <w:tc>
          <w:tcPr>
            <w:tcW w:type="dxa" w:w="1928"/>
          </w:tcPr>
          <w:p>
            <w:pPr>
              <w:jc w:val="center"/>
            </w:pPr>
            <w:r>
              <w:rPr>
                <w:sz w:val="16"/>
              </w:rPr>
              <w:t>1308 МПа</w:t>
            </w:r>
          </w:p>
        </w:tc>
        <w:tc>
          <w:tcPr>
            <w:tcW w:type="dxa" w:w="3175"/>
          </w:tcPr>
          <w:p>
            <w:pPr>
              <w:jc w:val="center"/>
            </w:pPr>
            <w:r>
              <w:rPr>
                <w:sz w:val="16"/>
              </w:rPr>
              <w:t>для сравнения</w:t>
            </w:r>
          </w:p>
        </w:tc>
      </w:tr>
      <w:tr>
        <w:tc>
          <w:tcPr>
            <w:tcW w:type="dxa" w:w="3969"/>
          </w:tcPr>
          <w:p>
            <w:r>
              <w:rPr>
                <w:sz w:val="16"/>
              </w:rPr>
              <w:t>σ на полюсе при проектной нагрузке</w:t>
            </w:r>
          </w:p>
        </w:tc>
        <w:tc>
          <w:tcPr>
            <w:tcW w:type="dxa" w:w="1928"/>
          </w:tcPr>
          <w:p>
            <w:pPr>
              <w:jc w:val="center"/>
            </w:pPr>
            <w:r>
              <w:rPr>
                <w:sz w:val="16"/>
              </w:rPr>
              <w:t>509 МПа</w:t>
            </w:r>
          </w:p>
        </w:tc>
        <w:tc>
          <w:tcPr>
            <w:tcW w:type="dxa" w:w="3175"/>
          </w:tcPr>
          <w:p>
            <w:pPr>
              <w:jc w:val="center"/>
            </w:pPr>
            <w:r>
              <w:rPr>
                <w:sz w:val="16"/>
              </w:rPr>
              <w:t>q = 155,6 кПа</w:t>
            </w:r>
          </w:p>
        </w:tc>
      </w:tr>
    </w:tbl>
    <w:p>
      <w:r>
        <w:t>Проектная нагрузка на торец ниже цилиндрической: 155,6 кПа против 222,4 кПа. Причина в том, что торец — техническая зона: на нём нет грунта, водоёмов и застройки, а собственный пакет обшивки (7115 кг/м²) работает при среднем ускорении 0,778 g. Средний радиус поверхности торца равен 3892 м, поэтому среднее центростремительное ускорение на нём составляет 7,63 м/с².</w:t>
      </w:r>
    </w:p>
    <w:p>
      <w:pPr>
        <w:pStyle w:val="Heading2"/>
      </w:pPr>
      <w:r>
        <w:t>20.2. Стык с цилиндром</w:t>
      </w:r>
    </w:p>
    <w:p>
      <w:r>
        <w:t>Касательная к сфероиду в экваторе параллельна оси вращения, поэтому торец сходится с цилиндром касательно и геометрического разрыва на стыке не образуется. Осевая тяга торца на экваторе N = p·a/2 = 253 МН/м должна быть передана поясу цилиндра, что даёт добавочное осевое напряжение 298 МПа.</w:t>
      </w:r>
    </w:p>
    <w:p>
      <w:pPr>
        <w:pStyle w:val="Caption"/>
        <w:jc w:val="center"/>
      </w:pPr>
      <w:r>
        <w:t>Таблица 20.2 — Сводное напряжение на стыке</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628"/>
            <w:shd w:val="clear" w:fill="DEEAF6"/>
          </w:tcPr>
          <w:p>
            <w:pPr>
              <w:jc w:val="center"/>
            </w:pPr>
            <w:r>
              <w:rPr>
                <w:b/>
                <w:sz w:val="16"/>
              </w:rPr>
              <w:t>Положение</w:t>
            </w:r>
          </w:p>
        </w:tc>
        <w:tc>
          <w:tcPr>
            <w:tcW w:type="dxa" w:w="3061"/>
            <w:shd w:val="clear" w:fill="DEEAF6"/>
          </w:tcPr>
          <w:p>
            <w:pPr>
              <w:jc w:val="center"/>
            </w:pPr>
            <w:r>
              <w:rPr>
                <w:b/>
                <w:sz w:val="16"/>
              </w:rPr>
              <w:t>Напряжение</w:t>
            </w:r>
          </w:p>
        </w:tc>
        <w:tc>
          <w:tcPr>
            <w:tcW w:type="dxa" w:w="2381"/>
            <w:shd w:val="clear" w:fill="DEEAF6"/>
          </w:tcPr>
          <w:p>
            <w:pPr>
              <w:jc w:val="center"/>
            </w:pPr>
            <w:r>
              <w:rPr>
                <w:b/>
                <w:sz w:val="16"/>
              </w:rPr>
              <w:t>Запас к текучести 1333 МПа</w:t>
            </w:r>
          </w:p>
        </w:tc>
      </w:tr>
      <w:tr>
        <w:tc>
          <w:tcPr>
            <w:tcW w:type="dxa" w:w="3628"/>
          </w:tcPr>
          <w:p>
            <w:r>
              <w:rPr>
                <w:sz w:val="16"/>
              </w:rPr>
              <w:t>Середина цилиндрической части</w:t>
            </w:r>
          </w:p>
        </w:tc>
        <w:tc>
          <w:tcPr>
            <w:tcW w:type="dxa" w:w="3061"/>
          </w:tcPr>
          <w:p>
            <w:pPr>
              <w:jc w:val="center"/>
            </w:pPr>
            <w:r>
              <w:rPr>
                <w:sz w:val="16"/>
              </w:rPr>
              <w:t>1308 МПа (кольцевое)</w:t>
            </w:r>
          </w:p>
        </w:tc>
        <w:tc>
          <w:tcPr>
            <w:tcW w:type="dxa" w:w="2381"/>
          </w:tcPr>
          <w:p>
            <w:pPr>
              <w:jc w:val="center"/>
            </w:pPr>
            <w:r>
              <w:rPr>
                <w:sz w:val="16"/>
              </w:rPr>
              <w:t>1,02</w:t>
            </w:r>
          </w:p>
        </w:tc>
      </w:tr>
      <w:tr>
        <w:tc>
          <w:tcPr>
            <w:tcW w:type="dxa" w:w="3628"/>
          </w:tcPr>
          <w:p>
            <w:r>
              <w:rPr>
                <w:sz w:val="16"/>
              </w:rPr>
              <w:t>Стык цилиндра с торцом</w:t>
            </w:r>
          </w:p>
        </w:tc>
        <w:tc>
          <w:tcPr>
            <w:tcW w:type="dxa" w:w="3061"/>
          </w:tcPr>
          <w:p>
            <w:pPr>
              <w:jc w:val="center"/>
            </w:pPr>
            <w:r>
              <w:rPr>
                <w:sz w:val="16"/>
              </w:rPr>
              <w:t>1187 МПа (по Мизесу)</w:t>
            </w:r>
          </w:p>
        </w:tc>
        <w:tc>
          <w:tcPr>
            <w:tcW w:type="dxa" w:w="2381"/>
          </w:tcPr>
          <w:p>
            <w:pPr>
              <w:jc w:val="center"/>
            </w:pPr>
            <w:r>
              <w:rPr>
                <w:sz w:val="16"/>
              </w:rPr>
              <w:t>1,12</w:t>
            </w:r>
          </w:p>
        </w:tc>
      </w:tr>
    </w:tbl>
    <w:p>
      <w:r>
        <w:t>Сечение стыкового кольца, потребное для передачи тяги при напряжении 1308 МПа, составляет 0,194 м²/м, то есть 23 % сечения силового пояса. Стык не требует отдельного усиления: пояс цилиндра принимает осевую составляющую с запасом.</w:t>
      </w:r>
    </w:p>
    <w:p>
      <w:pPr>
        <w:pStyle w:val="Heading2"/>
      </w:pPr>
      <w:r>
        <w:t>20.3. Полусферическая альтернатива</w:t>
      </w:r>
    </w:p>
    <w:p>
      <w:r>
        <w:t>Полный полусферический торец дал бы равномерное σ = pR/2t = 298 МПа, однако площадь его поверхности составила бы 157,1 км² против 146,7 км² у сфероида. Сфероид экономит 10,4 км² площади на торец (20,8 км² на цилиндр) и 52,4 км³ объёма на цилиндр, оплачая это небольшим ростом напряжения на полюсе (331 МПа против 298 МПа). Выбор c = 4500 м подтверждается: он выгоден и не создаёт опасной концентрации напряжений.</w:t>
      </w:r>
    </w:p>
    <w:p>
      <w:pPr>
        <w:pStyle w:val="Heading2"/>
      </w:pPr>
      <w:r>
        <w:t>20.4. Результаты раздела</w:t>
      </w:r>
    </w:p>
    <w:p>
      <w:pPr>
        <w:pStyle w:val="ListBullet"/>
      </w:pPr>
      <w:r>
        <w:t>Пробел закрыт: торец впервые рассчитан как ограничение давления.</w:t>
      </w:r>
    </w:p>
    <w:p>
      <w:pPr>
        <w:pStyle w:val="ListBullet"/>
      </w:pPr>
      <w:r>
        <w:t>Подтверждено, что цилиндр остаётся критическим элементом: 1308 МПа против 509 МПа на полюсе торца.</w:t>
      </w:r>
    </w:p>
    <w:p>
      <w:pPr>
        <w:pStyle w:val="ListBullet"/>
      </w:pPr>
      <w:r>
        <w:t>Установлено, что стык касательный и усиления не требует.</w:t>
      </w:r>
    </w:p>
    <w:p>
      <w:pPr>
        <w:pStyle w:val="ListBullet"/>
      </w:pPr>
      <w:r>
        <w:t>Выявлено следствие, которого в работе не было: 293,4 км² торцов включены в площадь внутренней поверхности 1550,1 км², но являются техническими зонами. Обитаемая площадь одного цилиндра равна 1256,6 км², и плотность населения при 1 млн жителей на два цилиндра составляет 397 чел./км², а не 323 чел./км².</w:t>
      </w:r>
    </w:p>
    <w:p>
      <w:pPr>
        <w:pStyle w:val="ListBullet"/>
      </w:pPr>
      <w:r>
        <w:t>Отмечена возможность: торец — естественный объём с градиентом тяжести от 0 g в центре до 1 g на экваторе, пригодный для невесомостных производств (п. 4.10).</w:t>
      </w:r>
    </w:p>
    <w:p>
      <w:pPr>
        <w:spacing w:before="200"/>
        <w:jc w:val="center"/>
      </w:pPr>
      <w:r>
        <w:rPr>
          <w:b/>
          <w:color w:val="2E5496"/>
          <w:sz w:val="17"/>
        </w:rPr>
        <w:t>ENGLISH EDITION</w:t>
      </w:r>
    </w:p>
    <w:p>
      <w:pPr>
        <w:pStyle w:val="Heading1"/>
        <w:pageBreakBefore/>
      </w:pPr>
      <w:r>
        <w:t>20. NOSE DOMES AS A PRESSURE BOUNDARY</w:t>
      </w:r>
    </w:p>
    <w:p>
      <w:r>
        <w:t>Until this section the end hemispheres appeared in the present work only as technical zones (para. 2.4) and as a location for solar panels (para. 7.7). Their behaviour as a pressure boundary was never calculated: Section 4.2 treats the cylindrical shell and Section 4.15 treats its shape stability, but the end remained outside the analysis. This section closes that gap.</w:t>
      </w:r>
    </w:p>
    <w:p>
      <w:pPr>
        <w:pStyle w:val="Heading2"/>
      </w:pPr>
      <w:r>
        <w:t>20.1. Geometry and membrane stresses</w:t>
      </w:r>
    </w:p>
    <w:p>
      <w:r>
        <w:t>The end is one half of an oblate spheroid with semi-axes a = 5000 m and c = 4500 m, that is c/a = 0.900, with a power belt 850 mm thick. For a shell of revolution under internal pressure the membrane stresses at the pole are equal to each other and amount to σ = p·a²/(2ct); at the equator the meridional and circumferential stresses differ.</w:t>
      </w:r>
    </w:p>
    <w:p>
      <w:pPr>
        <w:pStyle w:val="Caption"/>
        <w:jc w:val="center"/>
      </w:pPr>
      <w:r>
        <w:t>Table 20.1 — Membrane stresses of the end dome</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969"/>
            <w:shd w:val="clear" w:fill="DEEAF6"/>
          </w:tcPr>
          <w:p>
            <w:pPr>
              <w:jc w:val="center"/>
            </w:pPr>
            <w:r>
              <w:rPr>
                <w:b/>
                <w:sz w:val="16"/>
              </w:rPr>
              <w:t>Quantity</w:t>
            </w:r>
          </w:p>
        </w:tc>
        <w:tc>
          <w:tcPr>
            <w:tcW w:type="dxa" w:w="1928"/>
            <w:shd w:val="clear" w:fill="DEEAF6"/>
          </w:tcPr>
          <w:p>
            <w:pPr>
              <w:jc w:val="center"/>
            </w:pPr>
            <w:r>
              <w:rPr>
                <w:b/>
                <w:sz w:val="16"/>
              </w:rPr>
              <w:t>Value</w:t>
            </w:r>
          </w:p>
        </w:tc>
        <w:tc>
          <w:tcPr>
            <w:tcW w:type="dxa" w:w="3175"/>
            <w:shd w:val="clear" w:fill="DEEAF6"/>
          </w:tcPr>
          <w:p>
            <w:pPr>
              <w:jc w:val="center"/>
            </w:pPr>
            <w:r>
              <w:rPr>
                <w:b/>
                <w:sz w:val="16"/>
              </w:rPr>
              <w:t>Note</w:t>
            </w:r>
          </w:p>
        </w:tc>
      </w:tr>
      <w:tr>
        <w:tc>
          <w:tcPr>
            <w:tcW w:type="dxa" w:w="3969"/>
          </w:tcPr>
          <w:p>
            <w:r>
              <w:rPr>
                <w:sz w:val="16"/>
              </w:rPr>
              <w:t>σ at the pole, p = 1 atm</w:t>
            </w:r>
          </w:p>
        </w:tc>
        <w:tc>
          <w:tcPr>
            <w:tcW w:type="dxa" w:w="1928"/>
          </w:tcPr>
          <w:p>
            <w:pPr>
              <w:jc w:val="center"/>
            </w:pPr>
            <w:r>
              <w:rPr>
                <w:sz w:val="16"/>
              </w:rPr>
              <w:t>331 MPa</w:t>
            </w:r>
          </w:p>
        </w:tc>
        <w:tc>
          <w:tcPr>
            <w:tcW w:type="dxa" w:w="3175"/>
          </w:tcPr>
          <w:p>
            <w:pPr>
              <w:jc w:val="center"/>
            </w:pPr>
            <w:r>
              <w:rPr>
                <w:sz w:val="16"/>
              </w:rPr>
              <w:t>meridional = circumferential</w:t>
            </w:r>
          </w:p>
        </w:tc>
      </w:tr>
      <w:tr>
        <w:tc>
          <w:tcPr>
            <w:tcW w:type="dxa" w:w="3969"/>
          </w:tcPr>
          <w:p>
            <w:r>
              <w:rPr>
                <w:sz w:val="16"/>
              </w:rPr>
              <w:t>σ meridional at the equator</w:t>
            </w:r>
          </w:p>
        </w:tc>
        <w:tc>
          <w:tcPr>
            <w:tcW w:type="dxa" w:w="1928"/>
          </w:tcPr>
          <w:p>
            <w:pPr>
              <w:jc w:val="center"/>
            </w:pPr>
            <w:r>
              <w:rPr>
                <w:sz w:val="16"/>
              </w:rPr>
              <w:t>298 MPa</w:t>
            </w:r>
          </w:p>
        </w:tc>
        <w:tc>
          <w:tcPr>
            <w:tcW w:type="dxa" w:w="3175"/>
          </w:tcPr>
          <w:p>
            <w:pPr>
              <w:jc w:val="center"/>
            </w:pPr>
          </w:p>
        </w:tc>
      </w:tr>
      <w:tr>
        <w:tc>
          <w:tcPr>
            <w:tcW w:type="dxa" w:w="3969"/>
          </w:tcPr>
          <w:p>
            <w:r>
              <w:rPr>
                <w:sz w:val="16"/>
              </w:rPr>
              <w:t>σ circumferential at the equator</w:t>
            </w:r>
          </w:p>
        </w:tc>
        <w:tc>
          <w:tcPr>
            <w:tcW w:type="dxa" w:w="1928"/>
          </w:tcPr>
          <w:p>
            <w:pPr>
              <w:jc w:val="center"/>
            </w:pPr>
            <w:r>
              <w:rPr>
                <w:sz w:val="16"/>
              </w:rPr>
              <w:t>228 MPa</w:t>
            </w:r>
          </w:p>
        </w:tc>
        <w:tc>
          <w:tcPr>
            <w:tcW w:type="dxa" w:w="3175"/>
          </w:tcPr>
          <w:p>
            <w:pPr>
              <w:jc w:val="center"/>
            </w:pPr>
          </w:p>
        </w:tc>
      </w:tr>
      <w:tr>
        <w:tc>
          <w:tcPr>
            <w:tcW w:type="dxa" w:w="3969"/>
          </w:tcPr>
          <w:p>
            <w:r>
              <w:rPr>
                <w:sz w:val="16"/>
              </w:rPr>
              <w:t>σ hoop of the cylinder (para. 4.2)</w:t>
            </w:r>
          </w:p>
        </w:tc>
        <w:tc>
          <w:tcPr>
            <w:tcW w:type="dxa" w:w="1928"/>
          </w:tcPr>
          <w:p>
            <w:pPr>
              <w:jc w:val="center"/>
            </w:pPr>
            <w:r>
              <w:rPr>
                <w:sz w:val="16"/>
              </w:rPr>
              <w:t>1308 MPa</w:t>
            </w:r>
          </w:p>
        </w:tc>
        <w:tc>
          <w:tcPr>
            <w:tcW w:type="dxa" w:w="3175"/>
          </w:tcPr>
          <w:p>
            <w:pPr>
              <w:jc w:val="center"/>
            </w:pPr>
            <w:r>
              <w:rPr>
                <w:sz w:val="16"/>
              </w:rPr>
              <w:t>for comparison</w:t>
            </w:r>
          </w:p>
        </w:tc>
      </w:tr>
      <w:tr>
        <w:tc>
          <w:tcPr>
            <w:tcW w:type="dxa" w:w="3969"/>
          </w:tcPr>
          <w:p>
            <w:r>
              <w:rPr>
                <w:sz w:val="16"/>
              </w:rPr>
              <w:t>σ at the pole under design load</w:t>
            </w:r>
          </w:p>
        </w:tc>
        <w:tc>
          <w:tcPr>
            <w:tcW w:type="dxa" w:w="1928"/>
          </w:tcPr>
          <w:p>
            <w:pPr>
              <w:jc w:val="center"/>
            </w:pPr>
            <w:r>
              <w:rPr>
                <w:sz w:val="16"/>
              </w:rPr>
              <w:t>509 MPa</w:t>
            </w:r>
          </w:p>
        </w:tc>
        <w:tc>
          <w:tcPr>
            <w:tcW w:type="dxa" w:w="3175"/>
          </w:tcPr>
          <w:p>
            <w:pPr>
              <w:jc w:val="center"/>
            </w:pPr>
            <w:r>
              <w:rPr>
                <w:sz w:val="16"/>
              </w:rPr>
              <w:t>q = 155.6 kPa</w:t>
            </w:r>
          </w:p>
        </w:tc>
      </w:tr>
    </w:tbl>
    <w:p>
      <w:r>
        <w:t>The design load on the end is lower than on the cylinder: 155.6 kPa against 222.4 kPa. The reason is that the end is a technical zone: it carries no soil, water bodies or buildings, while its own cladding package (7115 kg/m²) works at a mean acceleration of 0.778 g. The mean radius of the end surface is 3892 m, so the mean centrifugal acceleration there is 7.63 m/s².</w:t>
      </w:r>
    </w:p>
    <w:p>
      <w:pPr>
        <w:pStyle w:val="Heading2"/>
      </w:pPr>
      <w:r>
        <w:t>20.2. The joint with the cylinder</w:t>
      </w:r>
    </w:p>
    <w:p>
      <w:r>
        <w:t>The tangent to the spheroid at the equator is parallel to the axis of rotation, so the end meets the cylinder tangentially and no geometric discontinuity forms at the joint. The axial thrust of the end at the equator, N = p·a/2 = 253 MN/m, must be transferred to the cylinder belt, which produces an additional axial stress of 298 MPa.</w:t>
      </w:r>
    </w:p>
    <w:p>
      <w:pPr>
        <w:pStyle w:val="Caption"/>
        <w:jc w:val="center"/>
      </w:pPr>
      <w:r>
        <w:t>Table 20.2 — Combined stress at the joint</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628"/>
            <w:shd w:val="clear" w:fill="DEEAF6"/>
          </w:tcPr>
          <w:p>
            <w:pPr>
              <w:jc w:val="center"/>
            </w:pPr>
            <w:r>
              <w:rPr>
                <w:b/>
                <w:sz w:val="16"/>
              </w:rPr>
              <w:t>Position</w:t>
            </w:r>
          </w:p>
        </w:tc>
        <w:tc>
          <w:tcPr>
            <w:tcW w:type="dxa" w:w="3061"/>
            <w:shd w:val="clear" w:fill="DEEAF6"/>
          </w:tcPr>
          <w:p>
            <w:pPr>
              <w:jc w:val="center"/>
            </w:pPr>
            <w:r>
              <w:rPr>
                <w:b/>
                <w:sz w:val="16"/>
              </w:rPr>
              <w:t>Stress</w:t>
            </w:r>
          </w:p>
        </w:tc>
        <w:tc>
          <w:tcPr>
            <w:tcW w:type="dxa" w:w="2381"/>
            <w:shd w:val="clear" w:fill="DEEAF6"/>
          </w:tcPr>
          <w:p>
            <w:pPr>
              <w:jc w:val="center"/>
            </w:pPr>
            <w:r>
              <w:rPr>
                <w:b/>
                <w:sz w:val="16"/>
              </w:rPr>
              <w:t>Safety margin to yield 1333 MPa</w:t>
            </w:r>
          </w:p>
        </w:tc>
      </w:tr>
      <w:tr>
        <w:tc>
          <w:tcPr>
            <w:tcW w:type="dxa" w:w="3628"/>
          </w:tcPr>
          <w:p>
            <w:r>
              <w:rPr>
                <w:sz w:val="16"/>
              </w:rPr>
              <w:t>Middle of the cylindrical part</w:t>
            </w:r>
          </w:p>
        </w:tc>
        <w:tc>
          <w:tcPr>
            <w:tcW w:type="dxa" w:w="3061"/>
          </w:tcPr>
          <w:p>
            <w:pPr>
              <w:jc w:val="center"/>
            </w:pPr>
            <w:r>
              <w:rPr>
                <w:sz w:val="16"/>
              </w:rPr>
              <w:t>1308 MPa (hoop)</w:t>
            </w:r>
          </w:p>
        </w:tc>
        <w:tc>
          <w:tcPr>
            <w:tcW w:type="dxa" w:w="2381"/>
          </w:tcPr>
          <w:p>
            <w:pPr>
              <w:jc w:val="center"/>
            </w:pPr>
            <w:r>
              <w:rPr>
                <w:sz w:val="16"/>
              </w:rPr>
              <w:t>1.02</w:t>
            </w:r>
          </w:p>
        </w:tc>
      </w:tr>
      <w:tr>
        <w:tc>
          <w:tcPr>
            <w:tcW w:type="dxa" w:w="3628"/>
          </w:tcPr>
          <w:p>
            <w:r>
              <w:rPr>
                <w:sz w:val="16"/>
              </w:rPr>
              <w:t>Cylinder-to-end joint</w:t>
            </w:r>
          </w:p>
        </w:tc>
        <w:tc>
          <w:tcPr>
            <w:tcW w:type="dxa" w:w="3061"/>
          </w:tcPr>
          <w:p>
            <w:pPr>
              <w:jc w:val="center"/>
            </w:pPr>
            <w:r>
              <w:rPr>
                <w:sz w:val="16"/>
              </w:rPr>
              <w:t>1187 MPa (von Mises)</w:t>
            </w:r>
          </w:p>
        </w:tc>
        <w:tc>
          <w:tcPr>
            <w:tcW w:type="dxa" w:w="2381"/>
          </w:tcPr>
          <w:p>
            <w:pPr>
              <w:jc w:val="center"/>
            </w:pPr>
            <w:r>
              <w:rPr>
                <w:sz w:val="16"/>
              </w:rPr>
              <w:t>1.12</w:t>
            </w:r>
          </w:p>
        </w:tc>
      </w:tr>
    </w:tbl>
    <w:p>
      <w:r>
        <w:t>The cross-section of the joint ring required to carry the thrust at 1308 MPa is 0.194 m²/m, that is 23 % of the power belt cross-section. The joint therefore needs no separate reinforcement: the cylinder belt takes the axial component with margin.</w:t>
      </w:r>
    </w:p>
    <w:p>
      <w:pPr>
        <w:pStyle w:val="Heading2"/>
      </w:pPr>
      <w:r>
        <w:t>20.3. The hemispherical alternative</w:t>
      </w:r>
    </w:p>
    <w:p>
      <w:r>
        <w:t>A full hemispherical end would give a uniform σ = pR/2t = 298 MPa, but its surface area would be 157.1 km² against 146.7 km² for the spheroid. The spheroid saves 10.4 km² of area per end (20.8 km² per cylinder) and 52.4 km³ of volume per cylinder, paying for it with a small increase of the pole stress (331 MPa against 298 MPa). The choice c = 4500 m is confirmed: it is advantageous and creates no dangerous stress concentration.</w:t>
      </w:r>
    </w:p>
    <w:p>
      <w:pPr>
        <w:pStyle w:val="Heading2"/>
      </w:pPr>
      <w:r>
        <w:t>20.4. Results of the section</w:t>
      </w:r>
    </w:p>
    <w:p>
      <w:pPr>
        <w:pStyle w:val="ListBullet"/>
      </w:pPr>
      <w:r>
        <w:t>The gap is closed: the end is calculated as a pressure boundary for the first time.</w:t>
      </w:r>
    </w:p>
    <w:p>
      <w:pPr>
        <w:pStyle w:val="ListBullet"/>
      </w:pPr>
      <w:r>
        <w:t>It is confirmed that the cylinder remains the critical element: 1308 MPa against 509 MPa at the pole of the end.</w:t>
      </w:r>
    </w:p>
    <w:p>
      <w:pPr>
        <w:pStyle w:val="ListBullet"/>
      </w:pPr>
      <w:r>
        <w:t>It is established that the joint is tangential and requires no reinforcement.</w:t>
      </w:r>
    </w:p>
    <w:p>
      <w:pPr>
        <w:pStyle w:val="ListBullet"/>
      </w:pPr>
      <w:r>
        <w:t>A consequence absent from the work is revealed: 293.4 km² of the ends are included in the internal surface area of 1550.1 km² but are technical zones. The habitable area of one cylinder is 1256.6 km², and the population density at one million inhabitants for two cylinders is 397 people/km², not 323 people/km².</w:t>
      </w:r>
    </w:p>
    <w:p>
      <w:pPr>
        <w:pStyle w:val="ListBullet"/>
      </w:pPr>
      <w:r>
        <w:t>An opportunity is noted: the end is a natural volume with a gravity gradient from 0 g at the centre to 1 g at the equator, suitable for weightless manufacturing (para. 4.10).</w:t>
      </w:r>
    </w:p>
    <w:p/>
    <w:p>
      <w:pPr>
        <w:spacing w:before="200"/>
        <w:jc w:val="center"/>
      </w:pPr>
      <w:r>
        <w:rPr>
          <w:b/>
          <w:color w:val="2E5496"/>
          <w:sz w:val="17"/>
        </w:rPr>
        <w:t>СПИСОК ЛИТЕРАТУРЫ РАЗДЕЛА / REFERENCES OF THIS SECTION</w:t>
      </w:r>
    </w:p>
    <w:p>
      <w:pPr>
        <w:ind w:left="340" w:hanging="340"/>
      </w:pPr>
      <w:r>
        <w:rPr>
          <w:sz w:val="18"/>
        </w:rPr>
        <w:t>1. O’Neill G. K. The Colonization of Space // Physics Today. 1974. Vol. 27, No. 9. P. 32–40. doi:10.1063/1.3128863.</w:t>
      </w:r>
    </w:p>
    <w:p>
      <w:pPr>
        <w:ind w:left="340" w:hanging="340"/>
      </w:pPr>
      <w:r>
        <w:rPr>
          <w:sz w:val="18"/>
        </w:rPr>
        <w:t>1. O’Neill G. K. The Colonization of Space // Physics Today. 1974. Vol. 27, No. 9. P. 32–40. doi:10.1063/1.3128863.</w:t>
      </w:r>
    </w:p>
    <w:p>
      <w:pPr>
        <w:ind w:left="340" w:hanging="340"/>
      </w:pPr>
      <w:r>
        <w:rPr>
          <w:sz w:val="18"/>
        </w:rPr>
        <w:t>2. O’Neill G. K. The High Frontier: Human Colonies in Space. New York: William Morrow, 1977.</w:t>
      </w:r>
    </w:p>
    <w:p>
      <w:pPr>
        <w:ind w:left="340" w:hanging="340"/>
      </w:pPr>
      <w:r>
        <w:rPr>
          <w:sz w:val="18"/>
        </w:rPr>
        <w:t>2. O’Neill G. K. The High Frontier: Human Colonies in Space. New York: William Morrow, 1977.</w:t>
      </w:r>
    </w:p>
    <w:p>
      <w:r>
        <w:rPr>
          <w:b/>
          <w:sz w:val="18"/>
        </w:rPr>
        <w:t>Кроме того, раздел опирается на собственные допущения публикации:</w:t>
      </w:r>
    </w:p>
    <w:p>
      <w:pPr>
        <w:ind w:left="340" w:hanging="340"/>
      </w:pPr>
      <w:r>
        <w:rPr>
          <w:sz w:val="18"/>
        </w:rPr>
        <w:t>· Несущая оболочка: напряжения и массовые оценки являются предварительными оценками первого уровня.</w:t>
      </w:r>
    </w:p>
    <w:p>
      <w:pPr>
        <w:ind w:left="340" w:hanging="340"/>
      </w:pPr>
      <w:r>
        <w:rPr>
          <w:sz w:val="18"/>
        </w:rPr>
        <w:t>· Load-bearing shell: stresses and mass estimates are first-level preliminary estimates.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