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21 / Section 21</w:t>
      </w:r>
    </w:p>
    <w:p>
      <w:pPr>
        <w:jc w:val="center"/>
      </w:pPr>
      <w:r>
        <w:rPr>
          <w:b/>
          <w:color w:val="1F3864"/>
          <w:sz w:val="26"/>
        </w:rPr>
        <w:t>21. АВАРИЙНАЯ ПОТЕРЯ ВРАЩЕНИЯ</w:t>
      </w:r>
    </w:p>
    <w:p>
      <w:pPr>
        <w:jc w:val="center"/>
      </w:pPr>
      <w:r>
        <w:rPr>
          <w:b/>
          <w:color w:val="1F3864"/>
          <w:sz w:val="26"/>
        </w:rPr>
        <w:t>21. EMERGENCY LOSS OF ROTATION</w:t>
      </w:r>
    </w:p>
    <w:p>
      <w:pPr>
        <w:jc w:val="center"/>
      </w:pPr>
      <w:r>
        <w:rPr>
          <w:i/>
          <w:sz w:val="17"/>
        </w:rPr>
        <w:t>Редакция 8 · 31 октября 2026 г.  ·  документ 23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pPr>
      <w:r>
        <w:t>21. АВАРИЙНАЯ ПОТЕРЯ ВРАЩЕНИЯ</w:t>
      </w:r>
    </w:p>
    <w:p>
      <w:r>
        <w:t>Подписная авария вращающейся станции — прекращение вращения. В публикации рассмотрены отказ энергоснабжения (п. 14.2), стабилизация и соединение цилиндров (п. 4.11), балансировка (п. 11.7), но сценарий «вращение остановилось» не построен ни в одном из них. Настоящий раздел строит его.</w:t>
      </w:r>
    </w:p>
    <w:p>
      <w:pPr>
        <w:pStyle w:val="Heading2"/>
      </w:pPr>
      <w:r>
        <w:t>21.1. Запас момента импульса</w:t>
      </w:r>
    </w:p>
    <w:p>
      <w:pPr>
        <w:pStyle w:val="Caption"/>
        <w:jc w:val="center"/>
      </w:pPr>
      <w:r>
        <w:t>Таблица 21.1 — Момент импульса и энергия вращения</w:t>
      </w:r>
    </w:p>
    <w:tbl>
      <w:tblPr>
        <w:tblStyle w:val="TableGrid"/>
        <w:tblW w:type="auto" w:w="0"/>
        <w:jc w:val="center"/>
        <w:tblLayout w:type="fixed"/>
        <w:tblLook w:firstColumn="1" w:firstRow="1" w:lastColumn="0" w:lastRow="0" w:noHBand="0" w:noVBand="1" w:val="04A0"/>
      </w:tblPr>
      <w:tblGrid>
        <w:gridCol w:w="4734"/>
        <w:gridCol w:w="4734"/>
      </w:tblGrid>
      <w:tr>
        <w:tc>
          <w:tcPr>
            <w:tcW w:type="dxa" w:w="5329"/>
            <w:shd w:val="clear" w:fill="DEEAF6"/>
          </w:tcPr>
          <w:p>
            <w:pPr>
              <w:jc w:val="center"/>
            </w:pPr>
            <w:r>
              <w:rPr>
                <w:b/>
                <w:sz w:val="16"/>
              </w:rPr>
              <w:t>Величина</w:t>
            </w:r>
          </w:p>
        </w:tc>
        <w:tc>
          <w:tcPr>
            <w:tcW w:type="dxa" w:w="3742"/>
            <w:shd w:val="clear" w:fill="DEEAF6"/>
          </w:tcPr>
          <w:p>
            <w:pPr>
              <w:jc w:val="center"/>
            </w:pPr>
            <w:r>
              <w:rPr>
                <w:b/>
                <w:sz w:val="16"/>
              </w:rPr>
              <w:t>Значение</w:t>
            </w:r>
          </w:p>
        </w:tc>
      </w:tr>
      <w:tr>
        <w:tc>
          <w:tcPr>
            <w:tcW w:type="dxa" w:w="5329"/>
          </w:tcPr>
          <w:p>
            <w:r>
              <w:rPr>
                <w:sz w:val="16"/>
              </w:rPr>
              <w:t>Момент инерции станции (два цилиндра)</w:t>
            </w:r>
          </w:p>
        </w:tc>
        <w:tc>
          <w:tcPr>
            <w:tcW w:type="dxa" w:w="3742"/>
          </w:tcPr>
          <w:p>
            <w:pPr>
              <w:jc w:val="center"/>
            </w:pPr>
            <w:r>
              <w:rPr>
                <w:sz w:val="16"/>
              </w:rPr>
              <w:t>1,168·10²¹ кг·м²</w:t>
            </w:r>
          </w:p>
        </w:tc>
      </w:tr>
      <w:tr>
        <w:tc>
          <w:tcPr>
            <w:tcW w:type="dxa" w:w="5329"/>
          </w:tcPr>
          <w:p>
            <w:r>
              <w:rPr>
                <w:sz w:val="16"/>
              </w:rPr>
              <w:t>Момент импульса</w:t>
            </w:r>
          </w:p>
        </w:tc>
        <w:tc>
          <w:tcPr>
            <w:tcW w:type="dxa" w:w="3742"/>
          </w:tcPr>
          <w:p>
            <w:pPr>
              <w:jc w:val="center"/>
            </w:pPr>
            <w:r>
              <w:rPr>
                <w:sz w:val="16"/>
              </w:rPr>
              <w:t>5,171·10¹⁹ кг·м²/с</w:t>
            </w:r>
          </w:p>
        </w:tc>
      </w:tr>
      <w:tr>
        <w:tc>
          <w:tcPr>
            <w:tcW w:type="dxa" w:w="5329"/>
          </w:tcPr>
          <w:p>
            <w:r>
              <w:rPr>
                <w:sz w:val="16"/>
              </w:rPr>
              <w:t>Кинетическая энергия вращения</w:t>
            </w:r>
          </w:p>
        </w:tc>
        <w:tc>
          <w:tcPr>
            <w:tcW w:type="dxa" w:w="3742"/>
          </w:tcPr>
          <w:p>
            <w:pPr>
              <w:jc w:val="center"/>
            </w:pPr>
            <w:r>
              <w:rPr>
                <w:sz w:val="16"/>
              </w:rPr>
              <w:t>1,145·10¹⁸ Дж</w:t>
            </w:r>
          </w:p>
        </w:tc>
      </w:tr>
      <w:tr>
        <w:tc>
          <w:tcPr>
            <w:tcW w:type="dxa" w:w="5329"/>
          </w:tcPr>
          <w:p>
            <w:r>
              <w:rPr>
                <w:sz w:val="16"/>
              </w:rPr>
              <w:t>Эквивалент полной мощности 721,4 ГВт</w:t>
            </w:r>
          </w:p>
        </w:tc>
        <w:tc>
          <w:tcPr>
            <w:tcW w:type="dxa" w:w="3742"/>
          </w:tcPr>
          <w:p>
            <w:pPr>
              <w:jc w:val="center"/>
            </w:pPr>
            <w:r>
              <w:rPr>
                <w:sz w:val="16"/>
              </w:rPr>
              <w:t>18,4 суток</w:t>
            </w:r>
          </w:p>
        </w:tc>
      </w:tr>
      <w:tr>
        <w:tc>
          <w:tcPr>
            <w:tcW w:type="dxa" w:w="5329"/>
          </w:tcPr>
          <w:p>
            <w:r>
              <w:rPr>
                <w:sz w:val="16"/>
              </w:rPr>
              <w:t>Раскрутка назад при 100 % мощности</w:t>
            </w:r>
          </w:p>
        </w:tc>
        <w:tc>
          <w:tcPr>
            <w:tcW w:type="dxa" w:w="3742"/>
          </w:tcPr>
          <w:p>
            <w:pPr>
              <w:jc w:val="center"/>
            </w:pPr>
            <w:r>
              <w:rPr>
                <w:sz w:val="16"/>
              </w:rPr>
              <w:t>18,4 суток</w:t>
            </w:r>
          </w:p>
        </w:tc>
      </w:tr>
      <w:tr>
        <w:tc>
          <w:tcPr>
            <w:tcW w:type="dxa" w:w="5329"/>
          </w:tcPr>
          <w:p>
            <w:r>
              <w:rPr>
                <w:sz w:val="16"/>
              </w:rPr>
              <w:t>Раскрутка назад при 30 % мощности</w:t>
            </w:r>
          </w:p>
        </w:tc>
        <w:tc>
          <w:tcPr>
            <w:tcW w:type="dxa" w:w="3742"/>
          </w:tcPr>
          <w:p>
            <w:pPr>
              <w:jc w:val="center"/>
            </w:pPr>
            <w:r>
              <w:rPr>
                <w:sz w:val="16"/>
              </w:rPr>
              <w:t>61,2 суток</w:t>
            </w:r>
          </w:p>
        </w:tc>
      </w:tr>
      <w:tr>
        <w:tc>
          <w:tcPr>
            <w:tcW w:type="dxa" w:w="5329"/>
          </w:tcPr>
          <w:p>
            <w:r>
              <w:rPr>
                <w:sz w:val="16"/>
              </w:rPr>
              <w:t>Раскрутка назад при 10 % мощности</w:t>
            </w:r>
          </w:p>
        </w:tc>
        <w:tc>
          <w:tcPr>
            <w:tcW w:type="dxa" w:w="3742"/>
          </w:tcPr>
          <w:p>
            <w:pPr>
              <w:jc w:val="center"/>
            </w:pPr>
            <w:r>
              <w:rPr>
                <w:sz w:val="16"/>
              </w:rPr>
              <w:t>183,7 суток</w:t>
            </w:r>
          </w:p>
        </w:tc>
      </w:tr>
    </w:tbl>
    <w:p>
      <w:r>
        <w:t>Главный практический вывод: восстановить тяжесть нельзя быстро. Даже отдав всё электричество станции, потребуется более 18 суток, чтобы вернуть 1 g. Следовательно, аварийный режим должен рассчитываться на недели невесомости, а не на часы.</w:t>
      </w:r>
    </w:p>
    <w:p>
      <w:pPr>
        <w:pStyle w:val="Heading2"/>
      </w:pPr>
      <w:r>
        <w:t>21.2. Атмосфера и оболочка</w:t>
      </w:r>
    </w:p>
    <w:p>
      <w:r>
        <w:t>При вращении давление распределено по радиусу: 101,3 кПа у обоевой поверхности и 75,7 кПа на оси (п. Б.4). При полной остановке газ перераспределяется в однородное поле, и давление выравнивается до 87,9 кПа.</w:t>
      </w:r>
    </w:p>
    <w:p>
      <w:pPr>
        <w:pStyle w:val="Caption"/>
        <w:jc w:val="center"/>
      </w:pPr>
      <w:r>
        <w:t>Таблица 21.2 — Перераспределение атмосферы при остановке</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c>
          <w:tcPr>
            <w:tcW w:type="dxa" w:w="2494"/>
            <w:shd w:val="clear" w:fill="DEEAF6"/>
          </w:tcPr>
          <w:p>
            <w:pPr>
              <w:jc w:val="center"/>
            </w:pPr>
            <w:r>
              <w:rPr>
                <w:b/>
                <w:sz w:val="16"/>
              </w:rPr>
              <w:t>Состояние</w:t>
            </w:r>
          </w:p>
        </w:tc>
        <w:tc>
          <w:tcPr>
            <w:tcW w:type="dxa" w:w="2041"/>
            <w:shd w:val="clear" w:fill="DEEAF6"/>
          </w:tcPr>
          <w:p>
            <w:pPr>
              <w:jc w:val="center"/>
            </w:pPr>
            <w:r>
              <w:rPr>
                <w:b/>
                <w:sz w:val="16"/>
              </w:rPr>
              <w:t>Давление у обоя</w:t>
            </w:r>
          </w:p>
        </w:tc>
        <w:tc>
          <w:tcPr>
            <w:tcW w:type="dxa" w:w="2041"/>
            <w:shd w:val="clear" w:fill="DEEAF6"/>
          </w:tcPr>
          <w:p>
            <w:pPr>
              <w:jc w:val="center"/>
            </w:pPr>
            <w:r>
              <w:rPr>
                <w:b/>
                <w:sz w:val="16"/>
              </w:rPr>
              <w:t>Давление на оси</w:t>
            </w:r>
          </w:p>
        </w:tc>
        <w:tc>
          <w:tcPr>
            <w:tcW w:type="dxa" w:w="2494"/>
            <w:shd w:val="clear" w:fill="DEEAF6"/>
          </w:tcPr>
          <w:p>
            <w:pPr>
              <w:jc w:val="center"/>
            </w:pPr>
            <w:r>
              <w:rPr>
                <w:b/>
                <w:sz w:val="16"/>
              </w:rPr>
              <w:t>Нагрузка на оболочку</w:t>
            </w:r>
          </w:p>
        </w:tc>
      </w:tr>
      <w:tr>
        <w:tc>
          <w:tcPr>
            <w:tcW w:type="dxa" w:w="2494"/>
          </w:tcPr>
          <w:p>
            <w:r>
              <w:rPr>
                <w:sz w:val="16"/>
              </w:rPr>
              <w:t>Нормальное вращение</w:t>
            </w:r>
          </w:p>
        </w:tc>
        <w:tc>
          <w:tcPr>
            <w:tcW w:type="dxa" w:w="2041"/>
          </w:tcPr>
          <w:p>
            <w:pPr>
              <w:jc w:val="center"/>
            </w:pPr>
            <w:r>
              <w:rPr>
                <w:sz w:val="16"/>
              </w:rPr>
              <w:t>101,3 кПа</w:t>
            </w:r>
          </w:p>
        </w:tc>
        <w:tc>
          <w:tcPr>
            <w:tcW w:type="dxa" w:w="2041"/>
          </w:tcPr>
          <w:p>
            <w:pPr>
              <w:jc w:val="center"/>
            </w:pPr>
            <w:r>
              <w:rPr>
                <w:sz w:val="16"/>
              </w:rPr>
              <w:t>75,7 кПа</w:t>
            </w:r>
          </w:p>
        </w:tc>
        <w:tc>
          <w:tcPr>
            <w:tcW w:type="dxa" w:w="2494"/>
          </w:tcPr>
          <w:p>
            <w:pPr>
              <w:jc w:val="center"/>
            </w:pPr>
            <w:r>
              <w:rPr>
                <w:sz w:val="16"/>
              </w:rPr>
              <w:t>100 %</w:t>
            </w:r>
          </w:p>
        </w:tc>
      </w:tr>
      <w:tr>
        <w:tc>
          <w:tcPr>
            <w:tcW w:type="dxa" w:w="2494"/>
          </w:tcPr>
          <w:p>
            <w:r>
              <w:rPr>
                <w:sz w:val="16"/>
              </w:rPr>
              <w:t>Полная остановка</w:t>
            </w:r>
          </w:p>
        </w:tc>
        <w:tc>
          <w:tcPr>
            <w:tcW w:type="dxa" w:w="2041"/>
          </w:tcPr>
          <w:p>
            <w:pPr>
              <w:jc w:val="center"/>
            </w:pPr>
            <w:r>
              <w:rPr>
                <w:sz w:val="16"/>
              </w:rPr>
              <w:t>87,9 кПа</w:t>
            </w:r>
          </w:p>
        </w:tc>
        <w:tc>
          <w:tcPr>
            <w:tcW w:type="dxa" w:w="2041"/>
          </w:tcPr>
          <w:p>
            <w:pPr>
              <w:jc w:val="center"/>
            </w:pPr>
            <w:r>
              <w:rPr>
                <w:sz w:val="16"/>
              </w:rPr>
              <w:t>87,9 кПа</w:t>
            </w:r>
          </w:p>
        </w:tc>
        <w:tc>
          <w:tcPr>
            <w:tcW w:type="dxa" w:w="2494"/>
          </w:tcPr>
          <w:p>
            <w:pPr>
              <w:jc w:val="center"/>
            </w:pPr>
            <w:r>
              <w:rPr>
                <w:sz w:val="16"/>
              </w:rPr>
              <w:t>87 %</w:t>
            </w:r>
          </w:p>
        </w:tc>
      </w:tr>
    </w:tbl>
    <w:p>
      <w:r>
        <w:t>Оболочка при остановке разгружается на 13 %. Этот результат неочевиден и важен: потеря вращения не угрожает прочности оболочки, она её разгружает. Угроза лежит не в механике.</w:t>
      </w:r>
    </w:p>
    <w:p>
      <w:pPr>
        <w:pStyle w:val="Heading2"/>
      </w:pPr>
      <w:r>
        <w:t>21.3. Что действительно выходит из строя</w:t>
      </w:r>
    </w:p>
    <w:p>
      <w:pPr>
        <w:pStyle w:val="ListBullet"/>
      </w:pPr>
      <w:r>
        <w:t>Конвекция. Адиабатический перепад температуры от обоя к оси составляет 24,4 К: воздух, поднимающийся к оси, охлаждается. Естественная конвекция обеспечивала перенос тепла к стенкам; при g → 0 число Грасгофа стремится к нулю, и весь теплоперенос должен принять на себя принудительное вентилирование. Запас системы жизнеобеспечения (20 ГВт, п. 4.13.6) должен быть рассчитан на 100 % теплообмена без плавучести.</w:t>
      </w:r>
    </w:p>
    <w:p>
      <w:pPr>
        <w:pStyle w:val="ListBullet"/>
      </w:pPr>
      <w:r>
        <w:t>Водный баланс. Сток, водоотвод и орошение работают на тяжести. При её исчезновении профиль грунта переувлажняется и переходит в анаэробное состояние; корни задыхаются за часы — сутки.</w:t>
      </w:r>
    </w:p>
    <w:p>
      <w:pPr>
        <w:pStyle w:val="ListBullet"/>
      </w:pPr>
      <w:r>
        <w:t>Ориентация растений. Гравитропизм теряет смысл, и направление роста перестаёт быть заданным.</w:t>
      </w:r>
    </w:p>
    <w:p>
      <w:pPr>
        <w:pStyle w:val="ListBullet"/>
      </w:pPr>
      <w:r>
        <w:t>Взвесь. В приосевой зоне (п. 6.5) частицы и так не оседают; при исчезновении тяжести зона неоседающей взвеси расширяется на весь объём.</w:t>
      </w:r>
    </w:p>
    <w:p>
      <w:pPr>
        <w:pStyle w:val="Heading2"/>
      </w:pPr>
      <w:r>
        <w:t>21.4. Асимметричная остановка</w:t>
      </w:r>
    </w:p>
    <w:p>
      <w:r>
        <w:t>Цилиндры противовращаются, поэтому их суммарный момент импульса равен нулю. Если остановится один цилиндр, а другой продолжит вращение, возникает чистый момент 2,585·10¹⁹ кг·м²/с и гироскопическая связь через соединительные фермы. Поперечный момент инерции станции 3,405·10²¹ кг·м², поэтому период прецессии составит 13,8 мин, а гироскопический момент на фермах — 1,96·10¹⁷ Н·м.</w:t>
      </w:r>
    </w:p>
    <w:p>
      <w:r>
        <w:t>Следствие для проекта: аварийный останов должен быть синхронным по обоим цилиндрам. Независимый останов одного цилиндра — отдельная, более тяжёлая авария, и её следует внести в перечень аварийных режимов (раздел 14).</w:t>
      </w:r>
    </w:p>
    <w:p>
      <w:pPr>
        <w:pStyle w:val="Heading2"/>
      </w:pPr>
      <w:r>
        <w:t>21.5. Требуемые проектные положения</w:t>
      </w:r>
    </w:p>
    <w:p>
      <w:pPr>
        <w:pStyle w:val="ListBullet"/>
      </w:pPr>
      <w:r>
        <w:t>Ввести порог минимального жизнеспособного вращения: при ω/ω₀ &lt; 0,3 (0,3 g) биосфера переводится в режим закрытых теплиц с полным принудительным теплопереносом и дренажем.</w:t>
      </w:r>
    </w:p>
    <w:p>
      <w:pPr>
        <w:pStyle w:val="ListBullet"/>
      </w:pPr>
      <w:r>
        <w:t>Нормировать время восстановления не часами, а сутками: 18,4 суток при полной отдаче мощности.</w:t>
      </w:r>
    </w:p>
    <w:p>
      <w:pPr>
        <w:pStyle w:val="ListBullet"/>
      </w:pPr>
      <w:r>
        <w:t>Запретить независимый останов одного цилиндра и предусмотреть синхронизацию аварийного торможения.</w:t>
      </w:r>
    </w:p>
    <w:p>
      <w:pPr>
        <w:spacing w:before="200"/>
        <w:jc w:val="center"/>
      </w:pPr>
      <w:r>
        <w:rPr>
          <w:b/>
          <w:color w:val="2E5496"/>
          <w:sz w:val="17"/>
        </w:rPr>
        <w:t>ENGLISH EDITION</w:t>
      </w:r>
    </w:p>
    <w:p>
      <w:pPr>
        <w:pStyle w:val="Heading1"/>
      </w:pPr>
      <w:r>
        <w:t>21. EMERGENCY LOSS OF ROTATION</w:t>
      </w:r>
    </w:p>
    <w:p>
      <w:r>
        <w:t>The signature accident of a rotating station is the cessation of rotation. The publication covers loss of power supply (para. 14.2), stabilisation and joining of the cylinders (para. 4.11) and balancing (para. 11.7), but the scenario “rotation has stopped” is constructed in none of them. This section constructs it.</w:t>
      </w:r>
    </w:p>
    <w:p>
      <w:pPr>
        <w:pStyle w:val="Heading2"/>
      </w:pPr>
      <w:r>
        <w:t>21.1. The stock of angular momentum</w:t>
      </w:r>
    </w:p>
    <w:p>
      <w:pPr>
        <w:pStyle w:val="Caption"/>
        <w:jc w:val="center"/>
      </w:pPr>
      <w:r>
        <w:t>Table 21.1 — Angular momentum and energy of rotation</w:t>
      </w:r>
    </w:p>
    <w:tbl>
      <w:tblPr>
        <w:tblStyle w:val="TableGrid"/>
        <w:tblW w:type="auto" w:w="0"/>
        <w:jc w:val="center"/>
        <w:tblLayout w:type="fixed"/>
        <w:tblLook w:firstColumn="1" w:firstRow="1" w:lastColumn="0" w:lastRow="0" w:noHBand="0" w:noVBand="1" w:val="04A0"/>
      </w:tblPr>
      <w:tblGrid>
        <w:gridCol w:w="4734"/>
        <w:gridCol w:w="4734"/>
      </w:tblGrid>
      <w:tr>
        <w:tc>
          <w:tcPr>
            <w:tcW w:type="dxa" w:w="5329"/>
            <w:shd w:val="clear" w:fill="DEEAF6"/>
          </w:tcPr>
          <w:p>
            <w:pPr>
              <w:jc w:val="center"/>
            </w:pPr>
            <w:r>
              <w:rPr>
                <w:b/>
                <w:sz w:val="16"/>
              </w:rPr>
              <w:t>Quantity</w:t>
            </w:r>
          </w:p>
        </w:tc>
        <w:tc>
          <w:tcPr>
            <w:tcW w:type="dxa" w:w="3742"/>
            <w:shd w:val="clear" w:fill="DEEAF6"/>
          </w:tcPr>
          <w:p>
            <w:pPr>
              <w:jc w:val="center"/>
            </w:pPr>
            <w:r>
              <w:rPr>
                <w:b/>
                <w:sz w:val="16"/>
              </w:rPr>
              <w:t>Value</w:t>
            </w:r>
          </w:p>
        </w:tc>
      </w:tr>
      <w:tr>
        <w:tc>
          <w:tcPr>
            <w:tcW w:type="dxa" w:w="5329"/>
          </w:tcPr>
          <w:p>
            <w:r>
              <w:rPr>
                <w:sz w:val="16"/>
              </w:rPr>
              <w:t>Moment of inertia of the station (two cylinders)</w:t>
            </w:r>
          </w:p>
        </w:tc>
        <w:tc>
          <w:tcPr>
            <w:tcW w:type="dxa" w:w="3742"/>
          </w:tcPr>
          <w:p>
            <w:pPr>
              <w:jc w:val="center"/>
            </w:pPr>
            <w:r>
              <w:rPr>
                <w:sz w:val="16"/>
              </w:rPr>
              <w:t>1.168·10²¹ kg·m²</w:t>
            </w:r>
          </w:p>
        </w:tc>
      </w:tr>
      <w:tr>
        <w:tc>
          <w:tcPr>
            <w:tcW w:type="dxa" w:w="5329"/>
          </w:tcPr>
          <w:p>
            <w:r>
              <w:rPr>
                <w:sz w:val="16"/>
              </w:rPr>
              <w:t>Angular momentum</w:t>
            </w:r>
          </w:p>
        </w:tc>
        <w:tc>
          <w:tcPr>
            <w:tcW w:type="dxa" w:w="3742"/>
          </w:tcPr>
          <w:p>
            <w:pPr>
              <w:jc w:val="center"/>
            </w:pPr>
            <w:r>
              <w:rPr>
                <w:sz w:val="16"/>
              </w:rPr>
              <w:t>5.171·10¹⁹ kg·m²/s</w:t>
            </w:r>
          </w:p>
        </w:tc>
      </w:tr>
      <w:tr>
        <w:tc>
          <w:tcPr>
            <w:tcW w:type="dxa" w:w="5329"/>
          </w:tcPr>
          <w:p>
            <w:r>
              <w:rPr>
                <w:sz w:val="16"/>
              </w:rPr>
              <w:t>Kinetic energy of rotation</w:t>
            </w:r>
          </w:p>
        </w:tc>
        <w:tc>
          <w:tcPr>
            <w:tcW w:type="dxa" w:w="3742"/>
          </w:tcPr>
          <w:p>
            <w:pPr>
              <w:jc w:val="center"/>
            </w:pPr>
            <w:r>
              <w:rPr>
                <w:sz w:val="16"/>
              </w:rPr>
              <w:t>1.145·10¹⁸ J</w:t>
            </w:r>
          </w:p>
        </w:tc>
      </w:tr>
      <w:tr>
        <w:tc>
          <w:tcPr>
            <w:tcW w:type="dxa" w:w="5329"/>
          </w:tcPr>
          <w:p>
            <w:r>
              <w:rPr>
                <w:sz w:val="16"/>
              </w:rPr>
              <w:t>Equivalent of the full power 721.4 GW</w:t>
            </w:r>
          </w:p>
        </w:tc>
        <w:tc>
          <w:tcPr>
            <w:tcW w:type="dxa" w:w="3742"/>
          </w:tcPr>
          <w:p>
            <w:pPr>
              <w:jc w:val="center"/>
            </w:pPr>
            <w:r>
              <w:rPr>
                <w:sz w:val="16"/>
              </w:rPr>
              <w:t>18.4 days</w:t>
            </w:r>
          </w:p>
        </w:tc>
      </w:tr>
      <w:tr>
        <w:tc>
          <w:tcPr>
            <w:tcW w:type="dxa" w:w="5329"/>
          </w:tcPr>
          <w:p>
            <w:r>
              <w:rPr>
                <w:sz w:val="16"/>
              </w:rPr>
              <w:t>Spin-up again at 100 % of power</w:t>
            </w:r>
          </w:p>
        </w:tc>
        <w:tc>
          <w:tcPr>
            <w:tcW w:type="dxa" w:w="3742"/>
          </w:tcPr>
          <w:p>
            <w:pPr>
              <w:jc w:val="center"/>
            </w:pPr>
            <w:r>
              <w:rPr>
                <w:sz w:val="16"/>
              </w:rPr>
              <w:t>18.4 days</w:t>
            </w:r>
          </w:p>
        </w:tc>
      </w:tr>
      <w:tr>
        <w:tc>
          <w:tcPr>
            <w:tcW w:type="dxa" w:w="5329"/>
          </w:tcPr>
          <w:p>
            <w:r>
              <w:rPr>
                <w:sz w:val="16"/>
              </w:rPr>
              <w:t>Spin-up again at 30 % of power</w:t>
            </w:r>
          </w:p>
        </w:tc>
        <w:tc>
          <w:tcPr>
            <w:tcW w:type="dxa" w:w="3742"/>
          </w:tcPr>
          <w:p>
            <w:pPr>
              <w:jc w:val="center"/>
            </w:pPr>
            <w:r>
              <w:rPr>
                <w:sz w:val="16"/>
              </w:rPr>
              <w:t>61.2 days</w:t>
            </w:r>
          </w:p>
        </w:tc>
      </w:tr>
      <w:tr>
        <w:tc>
          <w:tcPr>
            <w:tcW w:type="dxa" w:w="5329"/>
          </w:tcPr>
          <w:p>
            <w:r>
              <w:rPr>
                <w:sz w:val="16"/>
              </w:rPr>
              <w:t>Spin-up again at 10 % of power</w:t>
            </w:r>
          </w:p>
        </w:tc>
        <w:tc>
          <w:tcPr>
            <w:tcW w:type="dxa" w:w="3742"/>
          </w:tcPr>
          <w:p>
            <w:pPr>
              <w:jc w:val="center"/>
            </w:pPr>
            <w:r>
              <w:rPr>
                <w:sz w:val="16"/>
              </w:rPr>
              <w:t>183.7 days</w:t>
            </w:r>
          </w:p>
        </w:tc>
      </w:tr>
    </w:tbl>
    <w:p>
      <w:r>
        <w:t>The main practical conclusion: gravity cannot be restored quickly. Even giving all the station’s electricity, more than 18 days are needed to return 1 g. Consequently the emergency regime must be calculated for weeks of weightlessness, not for hours.</w:t>
      </w:r>
    </w:p>
    <w:p>
      <w:pPr>
        <w:pStyle w:val="Heading2"/>
      </w:pPr>
      <w:r>
        <w:t>21.2. Atmosphere and shell</w:t>
      </w:r>
    </w:p>
    <w:p>
      <w:r>
        <w:t>Under rotation the pressure is distributed over the radius: 101.3 kPa at the lining surface and 75.7 kPa on the axis (para. B.4). At a complete stop the gas redistributes into a uniform field and the pressure equalises to 87.9 kPa.</w:t>
      </w:r>
    </w:p>
    <w:p>
      <w:pPr>
        <w:pStyle w:val="Caption"/>
        <w:jc w:val="center"/>
      </w:pPr>
      <w:r>
        <w:t>Table 21.2 — Redistribution of the atmosphere at a stop</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c>
          <w:tcPr>
            <w:tcW w:type="dxa" w:w="2494"/>
            <w:shd w:val="clear" w:fill="DEEAF6"/>
          </w:tcPr>
          <w:p>
            <w:pPr>
              <w:jc w:val="center"/>
            </w:pPr>
            <w:r>
              <w:rPr>
                <w:b/>
                <w:sz w:val="16"/>
              </w:rPr>
              <w:t>State</w:t>
            </w:r>
          </w:p>
        </w:tc>
        <w:tc>
          <w:tcPr>
            <w:tcW w:type="dxa" w:w="2041"/>
            <w:shd w:val="clear" w:fill="DEEAF6"/>
          </w:tcPr>
          <w:p>
            <w:pPr>
              <w:jc w:val="center"/>
            </w:pPr>
            <w:r>
              <w:rPr>
                <w:b/>
                <w:sz w:val="16"/>
              </w:rPr>
              <w:t>Pressure at the lining</w:t>
            </w:r>
          </w:p>
        </w:tc>
        <w:tc>
          <w:tcPr>
            <w:tcW w:type="dxa" w:w="2041"/>
            <w:shd w:val="clear" w:fill="DEEAF6"/>
          </w:tcPr>
          <w:p>
            <w:pPr>
              <w:jc w:val="center"/>
            </w:pPr>
            <w:r>
              <w:rPr>
                <w:b/>
                <w:sz w:val="16"/>
              </w:rPr>
              <w:t>Pressure on the axis</w:t>
            </w:r>
          </w:p>
        </w:tc>
        <w:tc>
          <w:tcPr>
            <w:tcW w:type="dxa" w:w="2494"/>
            <w:shd w:val="clear" w:fill="DEEAF6"/>
          </w:tcPr>
          <w:p>
            <w:pPr>
              <w:jc w:val="center"/>
            </w:pPr>
            <w:r>
              <w:rPr>
                <w:b/>
                <w:sz w:val="16"/>
              </w:rPr>
              <w:t>Load on the shell</w:t>
            </w:r>
          </w:p>
        </w:tc>
      </w:tr>
      <w:tr>
        <w:tc>
          <w:tcPr>
            <w:tcW w:type="dxa" w:w="2494"/>
          </w:tcPr>
          <w:p>
            <w:r>
              <w:rPr>
                <w:sz w:val="16"/>
              </w:rPr>
              <w:t>Normal rotation</w:t>
            </w:r>
          </w:p>
        </w:tc>
        <w:tc>
          <w:tcPr>
            <w:tcW w:type="dxa" w:w="2041"/>
          </w:tcPr>
          <w:p>
            <w:pPr>
              <w:jc w:val="center"/>
            </w:pPr>
            <w:r>
              <w:rPr>
                <w:sz w:val="16"/>
              </w:rPr>
              <w:t>101.3 kPa</w:t>
            </w:r>
          </w:p>
        </w:tc>
        <w:tc>
          <w:tcPr>
            <w:tcW w:type="dxa" w:w="2041"/>
          </w:tcPr>
          <w:p>
            <w:pPr>
              <w:jc w:val="center"/>
            </w:pPr>
            <w:r>
              <w:rPr>
                <w:sz w:val="16"/>
              </w:rPr>
              <w:t>75.7 kPa</w:t>
            </w:r>
          </w:p>
        </w:tc>
        <w:tc>
          <w:tcPr>
            <w:tcW w:type="dxa" w:w="2494"/>
          </w:tcPr>
          <w:p>
            <w:pPr>
              <w:jc w:val="center"/>
            </w:pPr>
            <w:r>
              <w:rPr>
                <w:sz w:val="16"/>
              </w:rPr>
              <w:t>100 %</w:t>
            </w:r>
          </w:p>
        </w:tc>
      </w:tr>
      <w:tr>
        <w:tc>
          <w:tcPr>
            <w:tcW w:type="dxa" w:w="2494"/>
          </w:tcPr>
          <w:p>
            <w:r>
              <w:rPr>
                <w:sz w:val="16"/>
              </w:rPr>
              <w:t>Complete stop</w:t>
            </w:r>
          </w:p>
        </w:tc>
        <w:tc>
          <w:tcPr>
            <w:tcW w:type="dxa" w:w="2041"/>
          </w:tcPr>
          <w:p>
            <w:pPr>
              <w:jc w:val="center"/>
            </w:pPr>
            <w:r>
              <w:rPr>
                <w:sz w:val="16"/>
              </w:rPr>
              <w:t>87.9 kPa</w:t>
            </w:r>
          </w:p>
        </w:tc>
        <w:tc>
          <w:tcPr>
            <w:tcW w:type="dxa" w:w="2041"/>
          </w:tcPr>
          <w:p>
            <w:pPr>
              <w:jc w:val="center"/>
            </w:pPr>
            <w:r>
              <w:rPr>
                <w:sz w:val="16"/>
              </w:rPr>
              <w:t>87.9 kPa</w:t>
            </w:r>
          </w:p>
        </w:tc>
        <w:tc>
          <w:tcPr>
            <w:tcW w:type="dxa" w:w="2494"/>
          </w:tcPr>
          <w:p>
            <w:pPr>
              <w:jc w:val="center"/>
            </w:pPr>
            <w:r>
              <w:rPr>
                <w:sz w:val="16"/>
              </w:rPr>
              <w:t>87 %</w:t>
            </w:r>
          </w:p>
        </w:tc>
      </w:tr>
    </w:tbl>
    <w:p>
      <w:r>
        <w:t>At a stop the shell is unloaded by 13 %. This result is both non-obvious and important: loss of rotation does not threaten the strength of the shell, it unloads it. The threat lies not in mechanics.</w:t>
      </w:r>
    </w:p>
    <w:p>
      <w:pPr>
        <w:pStyle w:val="Heading2"/>
      </w:pPr>
      <w:r>
        <w:t>21.3. What actually fails</w:t>
      </w:r>
    </w:p>
    <w:p>
      <w:pPr>
        <w:pStyle w:val="ListBullet"/>
      </w:pPr>
      <w:r>
        <w:t>Convection. The adiabatic temperature drop from the lining to the axis is 24.4 K: air rising towards the axis cools. Natural convection carried heat to the walls; at g → 0 the Grashof number tends to zero and forced ventilation must take over the whole heat transfer. The reserve of the life-support system (20 GW, para. 4.13.6) must be calculated for 100 % heat exchange without buoyancy.</w:t>
      </w:r>
    </w:p>
    <w:p>
      <w:pPr>
        <w:pStyle w:val="ListBullet"/>
      </w:pPr>
      <w:r>
        <w:t>Water balance. Drainage, water disposal and irrigation work on gravity. When it disappears the soil profile becomes waterlogged and turns anaerobic; roots suffocate within hours to a day.</w:t>
      </w:r>
    </w:p>
    <w:p>
      <w:pPr>
        <w:pStyle w:val="ListBullet"/>
      </w:pPr>
      <w:r>
        <w:t>Plant orientation. Gravitropism loses its meaning and the direction of growth stops being defined.</w:t>
      </w:r>
    </w:p>
    <w:p>
      <w:pPr>
        <w:pStyle w:val="ListBullet"/>
      </w:pPr>
      <w:r>
        <w:t>Suspended matter. In the near-axis zone (para. 6.5) particles do not settle anyway; when gravity disappears the zone of non-settling suspension expands to the whole volume.</w:t>
      </w:r>
    </w:p>
    <w:p>
      <w:pPr>
        <w:pStyle w:val="Heading2"/>
      </w:pPr>
      <w:r>
        <w:t>21.4. Asymmetric stop</w:t>
      </w:r>
    </w:p>
    <w:p>
      <w:r>
        <w:t>The cylinders counter-rotate, so their total angular momentum is zero. If one cylinder stops while the other keeps rotating, a net moment of 2.585·10¹⁹ kg·m²/s arises together with a gyroscopic coupling through the connecting trusses. The transverse moment of inertia of the station is 3.405·10²¹ kg·m², so the precession period will be 13.8 min and the gyroscopic torque on the trusses 1.96·10¹⁷ N·m.</w:t>
      </w:r>
    </w:p>
    <w:p>
      <w:r>
        <w:t>Consequence for the project: the emergency stop must be synchronous for both cylinders. An independent stop of one cylinder is a separate, heavier accident and should be added to the list of emergency regimes (Section 14).</w:t>
      </w:r>
    </w:p>
    <w:p>
      <w:pPr>
        <w:pStyle w:val="Heading2"/>
      </w:pPr>
      <w:r>
        <w:t>21.5. Required design provisions</w:t>
      </w:r>
    </w:p>
    <w:p>
      <w:pPr>
        <w:pStyle w:val="ListBullet"/>
      </w:pPr>
      <w:r>
        <w:t>Introduce a minimum viable rotation threshold: at ω/ω₀ &lt; 0.3 (0.3 g) the biosphere is transferred to a closed-greenhouse mode with full forced heat transfer and drainage.</w:t>
      </w:r>
    </w:p>
    <w:p>
      <w:pPr>
        <w:pStyle w:val="ListBullet"/>
      </w:pPr>
      <w:r>
        <w:t>Normalise the recovery time in days, not hours: 18.4 days at full power delivery.</w:t>
      </w:r>
    </w:p>
    <w:p>
      <w:pPr>
        <w:pStyle w:val="ListBullet"/>
      </w:pPr>
      <w:r>
        <w:t>Prohibit an independent stop of one cylinder and provide for synchronised emergency braking.</w:t>
      </w:r>
    </w:p>
    <w:p/>
    <w:p>
      <w:pPr>
        <w:spacing w:before="200"/>
        <w:jc w:val="center"/>
      </w:pPr>
      <w:r>
        <w:rPr>
          <w:b/>
          <w:color w:val="2E5496"/>
          <w:sz w:val="17"/>
        </w:rPr>
        <w:t>СПИСОК ЛИТЕРАТУРЫ РАЗДЕЛА / REFERENCES OF THIS SECTION</w:t>
      </w:r>
    </w:p>
    <w:p>
      <w:pPr>
        <w:ind w:left="340" w:hanging="340"/>
      </w:pPr>
      <w:r>
        <w:rPr>
          <w:sz w:val="18"/>
        </w:rPr>
        <w:t>1. O’Neill G. K. The Colonization of Space // Physics Today. 1974. Vol. 27, No. 9. P. 32–40. doi:10.1063/1.3128863.</w:t>
      </w:r>
    </w:p>
    <w:p>
      <w:pPr>
        <w:ind w:left="340" w:hanging="340"/>
      </w:pPr>
      <w:r>
        <w:rPr>
          <w:sz w:val="18"/>
        </w:rPr>
        <w:t>1. O’Neill G. K. The Colonization of Space // Physics Today. 1974. Vol. 27, No. 9. P. 32–40. doi:10.1063/1.3128863.</w:t>
      </w:r>
    </w:p>
    <w:p>
      <w:pPr>
        <w:ind w:left="340" w:hanging="340"/>
      </w:pPr>
      <w:r>
        <w:rPr>
          <w:sz w:val="18"/>
        </w:rPr>
        <w:t>2. O’Neill G. K. The High Frontier: Human Colonies in Space. New York: William Morrow, 1977.</w:t>
      </w:r>
    </w:p>
    <w:p>
      <w:pPr>
        <w:ind w:left="340" w:hanging="340"/>
      </w:pPr>
      <w:r>
        <w:rPr>
          <w:sz w:val="18"/>
        </w:rPr>
        <w:t>2. O’Neill G. K. The High Frontier: Human Colonies in Space. New York: William Morrow, 1977.</w:t>
      </w:r>
    </w:p>
    <w:p>
      <w:r>
        <w:rPr>
          <w:b/>
          <w:sz w:val="18"/>
        </w:rPr>
        <w:t>Кроме того, раздел опирается на собственные допущения публикации:</w:t>
      </w:r>
    </w:p>
    <w:p>
      <w:pPr>
        <w:ind w:left="340" w:hanging="340"/>
      </w:pPr>
      <w:r>
        <w:rPr>
          <w:sz w:val="18"/>
        </w:rPr>
        <w:t>· Геометрия и вращение: радиус, длина, угловая скорость и искусственная гравитация представлены аналитическими соотношениями.</w:t>
      </w:r>
    </w:p>
    <w:p>
      <w:pPr>
        <w:ind w:left="340" w:hanging="340"/>
      </w:pPr>
      <w:r>
        <w:rPr>
          <w:sz w:val="18"/>
        </w:rPr>
        <w:t>· Geometry and rotation: radius, length, angular velocity and artificial gravity are given by analytical relations.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