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22 / Section 22</w:t>
      </w:r>
    </w:p>
    <w:p>
      <w:pPr>
        <w:jc w:val="center"/>
      </w:pPr>
      <w:r>
        <w:rPr>
          <w:b/>
          <w:color w:val="1F3864"/>
          <w:sz w:val="26"/>
        </w:rPr>
        <w:t>22. ВИЗУАЛЬНАЯ СРЕДА ЗАМКНУТОГО МИРА</w:t>
      </w:r>
    </w:p>
    <w:p>
      <w:pPr>
        <w:jc w:val="center"/>
      </w:pPr>
      <w:r>
        <w:rPr>
          <w:b/>
          <w:color w:val="1F3864"/>
          <w:sz w:val="26"/>
        </w:rPr>
        <w:t>22. THE VISUAL ENVIRONMENT OF A CLOSED WORLD</w:t>
      </w:r>
    </w:p>
    <w:p>
      <w:pPr>
        <w:jc w:val="center"/>
      </w:pPr>
      <w:r>
        <w:rPr>
          <w:i/>
          <w:sz w:val="17"/>
        </w:rPr>
        <w:t>Редакция 8 · 31 октября 2026 г.  ·  документ 24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22. ВИЗУАЛЬНАЯ СРЕДА ЗАМКНУТОГО МИРА</w:t>
      </w:r>
    </w:p>
    <w:p>
      <w:r>
        <w:t>Иллюминаторов в проекте нет и не предусмотрено: человек видит атмосферу и осевую светотепловую балку. Вся визуальная среда — внутренняя, и она нигде не описана. При этом она неодинакова по направлениям и определяет и ориентацию, и психологию, и архитектуру поселений.</w:t>
      </w:r>
    </w:p>
    <w:p>
      <w:pPr>
        <w:pStyle w:val="Heading2"/>
      </w:pPr>
      <w:r>
        <w:t>22.1. Горизонт и противоположная стена</w:t>
      </w:r>
    </w:p>
    <w:p>
      <w:r>
        <w:t>Внутренняя поверхность цилиндра всюду перпендикулярна местной вертикали. Поэтому поперёк оси она поднимается, и горизонт оказывается близко, а вдоль оси остаётся прямой, и горизонт там не ограничен вовсе.</w:t>
      </w:r>
    </w:p>
    <w:p>
      <w:pPr>
        <w:pStyle w:val="Caption"/>
        <w:jc w:val="center"/>
      </w:pPr>
      <w:r>
        <w:t>Таблица 22.1 — Горизонт поперёк оси цилиндра</w:t>
      </w:r>
    </w:p>
    <w:tbl>
      <w:tblPr>
        <w:tblStyle w:val="TableGrid"/>
        <w:tblW w:type="auto" w:w="0"/>
        <w:jc w:val="center"/>
        <w:tblLayout w:type="fixed"/>
        <w:tblLook w:firstColumn="1" w:firstRow="1" w:lastColumn="0" w:lastRow="0" w:noHBand="0" w:noVBand="1" w:val="04A0"/>
      </w:tblPr>
      <w:tblGrid>
        <w:gridCol w:w="4734"/>
        <w:gridCol w:w="4734"/>
      </w:tblGrid>
      <w:tr>
        <w:tc>
          <w:tcPr>
            <w:tcW w:type="dxa" w:w="4195"/>
            <w:shd w:val="clear" w:fill="DEEAF6"/>
          </w:tcPr>
          <w:p>
            <w:pPr>
              <w:jc w:val="center"/>
            </w:pPr>
            <w:r>
              <w:rPr>
                <w:b/>
                <w:sz w:val="16"/>
              </w:rPr>
              <w:t>Высота глаз</w:t>
            </w:r>
          </w:p>
        </w:tc>
        <w:tc>
          <w:tcPr>
            <w:tcW w:type="dxa" w:w="3742"/>
            <w:shd w:val="clear" w:fill="DEEAF6"/>
          </w:tcPr>
          <w:p>
            <w:pPr>
              <w:jc w:val="center"/>
            </w:pPr>
            <w:r>
              <w:rPr>
                <w:b/>
                <w:sz w:val="16"/>
              </w:rPr>
              <w:t>Горизонт поперёк оси</w:t>
            </w:r>
          </w:p>
        </w:tc>
      </w:tr>
      <w:tr>
        <w:tc>
          <w:tcPr>
            <w:tcW w:type="dxa" w:w="4195"/>
          </w:tcPr>
          <w:p>
            <w:r>
              <w:rPr>
                <w:sz w:val="16"/>
              </w:rPr>
              <w:t>1,0 м</w:t>
            </w:r>
          </w:p>
        </w:tc>
        <w:tc>
          <w:tcPr>
            <w:tcW w:type="dxa" w:w="3742"/>
          </w:tcPr>
          <w:p>
            <w:pPr>
              <w:jc w:val="center"/>
            </w:pPr>
            <w:r>
              <w:rPr>
                <w:sz w:val="16"/>
              </w:rPr>
              <w:t>100 м</w:t>
            </w:r>
          </w:p>
        </w:tc>
      </w:tr>
      <w:tr>
        <w:tc>
          <w:tcPr>
            <w:tcW w:type="dxa" w:w="4195"/>
          </w:tcPr>
          <w:p>
            <w:r>
              <w:rPr>
                <w:sz w:val="16"/>
              </w:rPr>
              <w:t>1,7 м (человек)</w:t>
            </w:r>
          </w:p>
        </w:tc>
        <w:tc>
          <w:tcPr>
            <w:tcW w:type="dxa" w:w="3742"/>
          </w:tcPr>
          <w:p>
            <w:pPr>
              <w:jc w:val="center"/>
            </w:pPr>
            <w:r>
              <w:rPr>
                <w:sz w:val="16"/>
              </w:rPr>
              <w:t>131 м</w:t>
            </w:r>
          </w:p>
        </w:tc>
      </w:tr>
      <w:tr>
        <w:tc>
          <w:tcPr>
            <w:tcW w:type="dxa" w:w="4195"/>
          </w:tcPr>
          <w:p>
            <w:r>
              <w:rPr>
                <w:sz w:val="16"/>
              </w:rPr>
              <w:t>2,5 м</w:t>
            </w:r>
          </w:p>
        </w:tc>
        <w:tc>
          <w:tcPr>
            <w:tcW w:type="dxa" w:w="3742"/>
          </w:tcPr>
          <w:p>
            <w:pPr>
              <w:jc w:val="center"/>
            </w:pPr>
            <w:r>
              <w:rPr>
                <w:sz w:val="16"/>
              </w:rPr>
              <w:t>158 м</w:t>
            </w:r>
          </w:p>
        </w:tc>
      </w:tr>
      <w:tr>
        <w:tc>
          <w:tcPr>
            <w:tcW w:type="dxa" w:w="4195"/>
          </w:tcPr>
          <w:p>
            <w:r>
              <w:rPr>
                <w:sz w:val="16"/>
              </w:rPr>
              <w:t>10,0 м (верх этажа)</w:t>
            </w:r>
          </w:p>
        </w:tc>
        <w:tc>
          <w:tcPr>
            <w:tcW w:type="dxa" w:w="3742"/>
          </w:tcPr>
          <w:p>
            <w:pPr>
              <w:jc w:val="center"/>
            </w:pPr>
            <w:r>
              <w:rPr>
                <w:sz w:val="16"/>
              </w:rPr>
              <w:t>316 м</w:t>
            </w:r>
          </w:p>
        </w:tc>
      </w:tr>
    </w:tbl>
    <w:p>
      <w:r>
        <w:t>Противоположная стена цилиндра висит над наблюдателем: в зените она удалена на 9998 м. Всё, что выше горизонта, — это противоположная стена, то есть перевёрнутый ландшафт на расстоянии 10 км. Горизонт вдоль оси не ограничен геометрией; предел — видимость в атмосфере (п. 6.5).</w:t>
      </w:r>
    </w:p>
    <w:p>
      <w:pPr>
        <w:pStyle w:val="Heading2"/>
      </w:pPr>
      <w:r>
        <w:t>22.2. ОСБ как источник света</w:t>
      </w:r>
    </w:p>
    <w:p>
      <w:r>
        <w:t>Наружная труба ОСБ имеет диаметр 8 м (п. 4.13.2) и проходит по оси. С обоевой поверхности она видна как линия угловой шириной 0,0917° — почти в шесть раз у́же солнечного диска (0,533°). Тени на станции резче земных.</w:t>
      </w:r>
    </w:p>
    <w:p>
      <w:pPr>
        <w:pStyle w:val="Caption"/>
        <w:jc w:val="center"/>
      </w:pPr>
      <w:r>
        <w:t>Таблица 22.2 — Видимое положение ОСБ</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Осевая координата z</w:t>
            </w:r>
          </w:p>
        </w:tc>
        <w:tc>
          <w:tcPr>
            <w:tcW w:type="dxa" w:w="2721"/>
            <w:shd w:val="clear" w:fill="DEEAF6"/>
          </w:tcPr>
          <w:p>
            <w:pPr>
              <w:jc w:val="center"/>
            </w:pPr>
            <w:r>
              <w:rPr>
                <w:b/>
                <w:sz w:val="16"/>
              </w:rPr>
              <w:t>Угол от зенита</w:t>
            </w:r>
          </w:p>
        </w:tc>
        <w:tc>
          <w:tcPr>
            <w:tcW w:type="dxa" w:w="2721"/>
            <w:shd w:val="clear" w:fill="DEEAF6"/>
          </w:tcPr>
          <w:p>
            <w:pPr>
              <w:jc w:val="center"/>
            </w:pPr>
            <w:r>
              <w:rPr>
                <w:b/>
                <w:sz w:val="16"/>
              </w:rPr>
              <w:t>Высота над горизонтом</w:t>
            </w:r>
          </w:p>
        </w:tc>
      </w:tr>
      <w:tr>
        <w:tc>
          <w:tcPr>
            <w:tcW w:type="dxa" w:w="3628"/>
          </w:tcPr>
          <w:p>
            <w:r>
              <w:rPr>
                <w:sz w:val="16"/>
              </w:rPr>
              <w:t>0 м</w:t>
            </w:r>
          </w:p>
        </w:tc>
        <w:tc>
          <w:tcPr>
            <w:tcW w:type="dxa" w:w="2721"/>
          </w:tcPr>
          <w:p>
            <w:pPr>
              <w:jc w:val="center"/>
            </w:pPr>
            <w:r>
              <w:rPr>
                <w:sz w:val="16"/>
              </w:rPr>
              <w:t>0,0°</w:t>
            </w:r>
          </w:p>
        </w:tc>
        <w:tc>
          <w:tcPr>
            <w:tcW w:type="dxa" w:w="2721"/>
          </w:tcPr>
          <w:p>
            <w:pPr>
              <w:jc w:val="center"/>
            </w:pPr>
            <w:r>
              <w:rPr>
                <w:sz w:val="16"/>
              </w:rPr>
              <w:t>90,0°</w:t>
            </w:r>
          </w:p>
        </w:tc>
      </w:tr>
      <w:tr>
        <w:tc>
          <w:tcPr>
            <w:tcW w:type="dxa" w:w="3628"/>
          </w:tcPr>
          <w:p>
            <w:r>
              <w:rPr>
                <w:sz w:val="16"/>
              </w:rPr>
              <w:t>1000 м</w:t>
            </w:r>
          </w:p>
        </w:tc>
        <w:tc>
          <w:tcPr>
            <w:tcW w:type="dxa" w:w="2721"/>
          </w:tcPr>
          <w:p>
            <w:pPr>
              <w:jc w:val="center"/>
            </w:pPr>
            <w:r>
              <w:rPr>
                <w:sz w:val="16"/>
              </w:rPr>
              <w:t>11,3°</w:t>
            </w:r>
          </w:p>
        </w:tc>
        <w:tc>
          <w:tcPr>
            <w:tcW w:type="dxa" w:w="2721"/>
          </w:tcPr>
          <w:p>
            <w:pPr>
              <w:jc w:val="center"/>
            </w:pPr>
            <w:r>
              <w:rPr>
                <w:sz w:val="16"/>
              </w:rPr>
              <w:t>78,7°</w:t>
            </w:r>
          </w:p>
        </w:tc>
      </w:tr>
      <w:tr>
        <w:tc>
          <w:tcPr>
            <w:tcW w:type="dxa" w:w="3628"/>
          </w:tcPr>
          <w:p>
            <w:r>
              <w:rPr>
                <w:sz w:val="16"/>
              </w:rPr>
              <w:t>5000 м</w:t>
            </w:r>
          </w:p>
        </w:tc>
        <w:tc>
          <w:tcPr>
            <w:tcW w:type="dxa" w:w="2721"/>
          </w:tcPr>
          <w:p>
            <w:pPr>
              <w:jc w:val="center"/>
            </w:pPr>
            <w:r>
              <w:rPr>
                <w:sz w:val="16"/>
              </w:rPr>
              <w:t>45,0°</w:t>
            </w:r>
          </w:p>
        </w:tc>
        <w:tc>
          <w:tcPr>
            <w:tcW w:type="dxa" w:w="2721"/>
          </w:tcPr>
          <w:p>
            <w:pPr>
              <w:jc w:val="center"/>
            </w:pPr>
            <w:r>
              <w:rPr>
                <w:sz w:val="16"/>
              </w:rPr>
              <w:t>45,0°</w:t>
            </w:r>
          </w:p>
        </w:tc>
      </w:tr>
      <w:tr>
        <w:tc>
          <w:tcPr>
            <w:tcW w:type="dxa" w:w="3628"/>
          </w:tcPr>
          <w:p>
            <w:r>
              <w:rPr>
                <w:sz w:val="16"/>
              </w:rPr>
              <w:t>10000 м</w:t>
            </w:r>
          </w:p>
        </w:tc>
        <w:tc>
          <w:tcPr>
            <w:tcW w:type="dxa" w:w="2721"/>
          </w:tcPr>
          <w:p>
            <w:pPr>
              <w:jc w:val="center"/>
            </w:pPr>
            <w:r>
              <w:rPr>
                <w:sz w:val="16"/>
              </w:rPr>
              <w:t>63,4°</w:t>
            </w:r>
          </w:p>
        </w:tc>
        <w:tc>
          <w:tcPr>
            <w:tcW w:type="dxa" w:w="2721"/>
          </w:tcPr>
          <w:p>
            <w:pPr>
              <w:jc w:val="center"/>
            </w:pPr>
            <w:r>
              <w:rPr>
                <w:sz w:val="16"/>
              </w:rPr>
              <w:t>26,6°</w:t>
            </w:r>
          </w:p>
        </w:tc>
      </w:tr>
      <w:tr>
        <w:tc>
          <w:tcPr>
            <w:tcW w:type="dxa" w:w="3628"/>
          </w:tcPr>
          <w:p>
            <w:r>
              <w:rPr>
                <w:sz w:val="16"/>
              </w:rPr>
              <w:t>20000 м</w:t>
            </w:r>
          </w:p>
        </w:tc>
        <w:tc>
          <w:tcPr>
            <w:tcW w:type="dxa" w:w="2721"/>
          </w:tcPr>
          <w:p>
            <w:pPr>
              <w:jc w:val="center"/>
            </w:pPr>
            <w:r>
              <w:rPr>
                <w:sz w:val="16"/>
              </w:rPr>
              <w:t>76,0°</w:t>
            </w:r>
          </w:p>
        </w:tc>
        <w:tc>
          <w:tcPr>
            <w:tcW w:type="dxa" w:w="2721"/>
          </w:tcPr>
          <w:p>
            <w:pPr>
              <w:jc w:val="center"/>
            </w:pPr>
            <w:r>
              <w:rPr>
                <w:sz w:val="16"/>
              </w:rPr>
              <w:t>14,0°</w:t>
            </w:r>
          </w:p>
        </w:tc>
      </w:tr>
      <w:tr>
        <w:tc>
          <w:tcPr>
            <w:tcW w:type="dxa" w:w="3628"/>
          </w:tcPr>
          <w:p>
            <w:r>
              <w:rPr>
                <w:sz w:val="16"/>
              </w:rPr>
              <w:t>24500 м (полюс торца)</w:t>
            </w:r>
          </w:p>
        </w:tc>
        <w:tc>
          <w:tcPr>
            <w:tcW w:type="dxa" w:w="2721"/>
          </w:tcPr>
          <w:p>
            <w:pPr>
              <w:jc w:val="center"/>
            </w:pPr>
            <w:r>
              <w:rPr>
                <w:sz w:val="16"/>
              </w:rPr>
              <w:t>78,5°</w:t>
            </w:r>
          </w:p>
        </w:tc>
        <w:tc>
          <w:tcPr>
            <w:tcW w:type="dxa" w:w="2721"/>
          </w:tcPr>
          <w:p>
            <w:pPr>
              <w:jc w:val="center"/>
            </w:pPr>
            <w:r>
              <w:rPr>
                <w:sz w:val="16"/>
              </w:rPr>
              <w:t>11,5°</w:t>
            </w:r>
          </w:p>
        </w:tc>
      </w:tr>
    </w:tbl>
    <w:p>
      <w:r>
        <w:t>ОСБ выглядит как прямые линии света, расходящиеся из зенита к обоим горизонтам и опускающиеся до 14° над горизонтом у торцов. Источник протяжённый: 71 % света приходит с участков оси в пределах ±5000 м, то есть из конуса полууглом 45°. Поэтому у предмета нет одной тени — есть полутень, образованная всей длиной балки.</w:t>
      </w:r>
    </w:p>
    <w:p>
      <w:pPr>
        <w:pStyle w:val="Heading2"/>
      </w:pPr>
      <w:r>
        <w:t>22.3. Масштаб вида и освещённость</w:t>
      </w:r>
    </w:p>
    <w:p>
      <w:r>
        <w:t>На противоположной стороне, на удалении 10 км, угловые размеры малы: человек ростом 1,7 м даёт 0,58′ — на пороге разрешения глаза; дерево высотой 10 м — 3,4′; здание высотой 100 м — 34,4′. Перевёрнутый ландшафт читается как пейзаж, но люди на нём неразличимы.</w:t>
      </w:r>
    </w:p>
    <w:p>
      <w:r>
        <w:t>Освещённость в светящейся полосе составляет 13 800–17 800 лк при 148 Вт/м² (п. 4.13.4, коэффициент 93–120 лк на Вт/м²). Для сравнения: светлая тень на Земле — 10 000–25 000 лк. Полоса тьмы занимает половину длины цилиндра, поэтому в любой момент светятся 20 км из 40 км, и световой день составляет 11,75 ч при полном цикле 23,5 ч.</w:t>
      </w:r>
    </w:p>
    <w:p>
      <w:pPr>
        <w:pStyle w:val="Heading2"/>
      </w:pPr>
      <w:r>
        <w:t>22.4. Результаты раздела</w:t>
      </w:r>
    </w:p>
    <w:p>
      <w:pPr>
        <w:pStyle w:val="ListBullet"/>
      </w:pPr>
      <w:r>
        <w:t>Установлено, что визуальный мир станции анизотропен: горизонт в 131 м поперёк оси и неограничен вдоль неё.</w:t>
      </w:r>
    </w:p>
    <w:p>
      <w:pPr>
        <w:pStyle w:val="ListBullet"/>
      </w:pPr>
      <w:r>
        <w:t>Установлено, что источник света — протяжённая линия, а не диск.</w:t>
      </w:r>
    </w:p>
    <w:p>
      <w:pPr>
        <w:pStyle w:val="ListBullet"/>
      </w:pPr>
      <w:r>
        <w:t>Выявлено проектное следствие: опора на визуальные ориентиры вдоль оси работает, поперёк оси — нет. Навигация и адресация (п. 12.5.1) должны опираться на осевую координату.</w:t>
      </w:r>
    </w:p>
    <w:p>
      <w:pPr>
        <w:pStyle w:val="ListBullet"/>
      </w:pPr>
      <w:r>
        <w:t>Выявлено психофизическое следствие: наблюдатель постоянно видит перевёрнутый ландшафт над головой на удалении 10 км при отсутствии неба, звёзд и Солнца. Это следует внести в п. 15.2 как отдельный фактор, наряду с замкнутостью.</w:t>
      </w:r>
    </w:p>
    <w:p>
      <w:pPr>
        <w:spacing w:before="200"/>
        <w:jc w:val="center"/>
      </w:pPr>
      <w:r>
        <w:rPr>
          <w:b/>
          <w:color w:val="2E5496"/>
          <w:sz w:val="17"/>
        </w:rPr>
        <w:t>ENGLISH EDITION</w:t>
      </w:r>
    </w:p>
    <w:p>
      <w:pPr>
        <w:pStyle w:val="Heading1"/>
      </w:pPr>
      <w:r>
        <w:t>22. THE VISUAL ENVIRONMENT OF A CLOSED WORLD</w:t>
      </w:r>
    </w:p>
    <w:p>
      <w:r>
        <w:t>The project has no viewports and none are planned: a person sees the atmosphere and the axial light-and-thermal beam. The whole visual environment is internal and is nowhere described. At the same time it is not uniform by direction and determines orientation, psychology and the architecture of settlements alike.</w:t>
      </w:r>
    </w:p>
    <w:p>
      <w:pPr>
        <w:pStyle w:val="Heading2"/>
      </w:pPr>
      <w:r>
        <w:t>22.1. Horizon and opposite wall</w:t>
      </w:r>
    </w:p>
    <w:p>
      <w:r>
        <w:t>The internal surface of the cylinder is everywhere perpendicular to the local vertical. Therefore across the axis it rises and the horizon turns out to be close, while along the axis it remains straight and the horizon there is not limited at all.</w:t>
      </w:r>
    </w:p>
    <w:p>
      <w:pPr>
        <w:pStyle w:val="Caption"/>
        <w:jc w:val="center"/>
      </w:pPr>
      <w:r>
        <w:t>Table 22.1 — Horizon across the cylinder axis</w:t>
      </w:r>
    </w:p>
    <w:tbl>
      <w:tblPr>
        <w:tblStyle w:val="TableGrid"/>
        <w:tblW w:type="auto" w:w="0"/>
        <w:jc w:val="center"/>
        <w:tblLayout w:type="fixed"/>
        <w:tblLook w:firstColumn="1" w:firstRow="1" w:lastColumn="0" w:lastRow="0" w:noHBand="0" w:noVBand="1" w:val="04A0"/>
      </w:tblPr>
      <w:tblGrid>
        <w:gridCol w:w="4734"/>
        <w:gridCol w:w="4734"/>
      </w:tblGrid>
      <w:tr>
        <w:tc>
          <w:tcPr>
            <w:tcW w:type="dxa" w:w="4195"/>
            <w:shd w:val="clear" w:fill="DEEAF6"/>
          </w:tcPr>
          <w:p>
            <w:pPr>
              <w:jc w:val="center"/>
            </w:pPr>
            <w:r>
              <w:rPr>
                <w:b/>
                <w:sz w:val="16"/>
              </w:rPr>
              <w:t>Eye height</w:t>
            </w:r>
          </w:p>
        </w:tc>
        <w:tc>
          <w:tcPr>
            <w:tcW w:type="dxa" w:w="3742"/>
            <w:shd w:val="clear" w:fill="DEEAF6"/>
          </w:tcPr>
          <w:p>
            <w:pPr>
              <w:jc w:val="center"/>
            </w:pPr>
            <w:r>
              <w:rPr>
                <w:b/>
                <w:sz w:val="16"/>
              </w:rPr>
              <w:t>Horizon across the axis</w:t>
            </w:r>
          </w:p>
        </w:tc>
      </w:tr>
      <w:tr>
        <w:tc>
          <w:tcPr>
            <w:tcW w:type="dxa" w:w="4195"/>
          </w:tcPr>
          <w:p>
            <w:r>
              <w:rPr>
                <w:sz w:val="16"/>
              </w:rPr>
              <w:t>1.0 m</w:t>
            </w:r>
          </w:p>
        </w:tc>
        <w:tc>
          <w:tcPr>
            <w:tcW w:type="dxa" w:w="3742"/>
          </w:tcPr>
          <w:p>
            <w:pPr>
              <w:jc w:val="center"/>
            </w:pPr>
            <w:r>
              <w:rPr>
                <w:sz w:val="16"/>
              </w:rPr>
              <w:t>100 m</w:t>
            </w:r>
          </w:p>
        </w:tc>
      </w:tr>
      <w:tr>
        <w:tc>
          <w:tcPr>
            <w:tcW w:type="dxa" w:w="4195"/>
          </w:tcPr>
          <w:p>
            <w:r>
              <w:rPr>
                <w:sz w:val="16"/>
              </w:rPr>
              <w:t>1.7 m (a person)</w:t>
            </w:r>
          </w:p>
        </w:tc>
        <w:tc>
          <w:tcPr>
            <w:tcW w:type="dxa" w:w="3742"/>
          </w:tcPr>
          <w:p>
            <w:pPr>
              <w:jc w:val="center"/>
            </w:pPr>
            <w:r>
              <w:rPr>
                <w:sz w:val="16"/>
              </w:rPr>
              <w:t>131 m</w:t>
            </w:r>
          </w:p>
        </w:tc>
      </w:tr>
      <w:tr>
        <w:tc>
          <w:tcPr>
            <w:tcW w:type="dxa" w:w="4195"/>
          </w:tcPr>
          <w:p>
            <w:r>
              <w:rPr>
                <w:sz w:val="16"/>
              </w:rPr>
              <w:t>2.5 m</w:t>
            </w:r>
          </w:p>
        </w:tc>
        <w:tc>
          <w:tcPr>
            <w:tcW w:type="dxa" w:w="3742"/>
          </w:tcPr>
          <w:p>
            <w:pPr>
              <w:jc w:val="center"/>
            </w:pPr>
            <w:r>
              <w:rPr>
                <w:sz w:val="16"/>
              </w:rPr>
              <w:t>158 m</w:t>
            </w:r>
          </w:p>
        </w:tc>
      </w:tr>
      <w:tr>
        <w:tc>
          <w:tcPr>
            <w:tcW w:type="dxa" w:w="4195"/>
          </w:tcPr>
          <w:p>
            <w:r>
              <w:rPr>
                <w:sz w:val="16"/>
              </w:rPr>
              <w:t>10.0 m (top of a storey)</w:t>
            </w:r>
          </w:p>
        </w:tc>
        <w:tc>
          <w:tcPr>
            <w:tcW w:type="dxa" w:w="3742"/>
          </w:tcPr>
          <w:p>
            <w:pPr>
              <w:jc w:val="center"/>
            </w:pPr>
            <w:r>
              <w:rPr>
                <w:sz w:val="16"/>
              </w:rPr>
              <w:t>316 m</w:t>
            </w:r>
          </w:p>
        </w:tc>
      </w:tr>
    </w:tbl>
    <w:p>
      <w:r>
        <w:t>The opposite wall of the cylinder hangs above the observer: at the zenith it is 9998 m away. Everything above the horizon is the opposite wall, that is an inverted landscape at a distance of 10 km. The horizon along the axis is not limited by geometry; the limit is visibility in the atmosphere (para. 6.5).</w:t>
      </w:r>
    </w:p>
    <w:p>
      <w:pPr>
        <w:pStyle w:val="Heading2"/>
      </w:pPr>
      <w:r>
        <w:t>22.2. The OSB as a light source</w:t>
      </w:r>
    </w:p>
    <w:p>
      <w:r>
        <w:t>The outer pipe of the OSB is 8 m in diameter (para. 4.13.2) and runs along the axis. From the lining surface it is seen as a line of angular width 0.0917° — almost six times narrower than the solar disc (0.533°). Shadows on the station are sharper than on Earth.</w:t>
      </w:r>
    </w:p>
    <w:p>
      <w:pPr>
        <w:pStyle w:val="Caption"/>
        <w:jc w:val="center"/>
      </w:pPr>
      <w:r>
        <w:t>Table 22.2 — Apparent position of the OSB</w:t>
      </w:r>
    </w:p>
    <w:tbl>
      <w:tblPr>
        <w:tblStyle w:val="TableGrid"/>
        <w:tblW w:type="auto" w:w="0"/>
        <w:jc w:val="center"/>
        <w:tblLayout w:type="fixed"/>
        <w:tblLook w:firstColumn="1" w:firstRow="1" w:lastColumn="0" w:lastRow="0" w:noHBand="0" w:noVBand="1" w:val="04A0"/>
      </w:tblPr>
      <w:tblGrid>
        <w:gridCol w:w="3156"/>
        <w:gridCol w:w="3156"/>
        <w:gridCol w:w="3156"/>
      </w:tblGrid>
      <w:tr>
        <w:tc>
          <w:tcPr>
            <w:tcW w:type="dxa" w:w="3628"/>
            <w:shd w:val="clear" w:fill="DEEAF6"/>
          </w:tcPr>
          <w:p>
            <w:pPr>
              <w:jc w:val="center"/>
            </w:pPr>
            <w:r>
              <w:rPr>
                <w:b/>
                <w:sz w:val="16"/>
              </w:rPr>
              <w:t>Axial coordinate z</w:t>
            </w:r>
          </w:p>
        </w:tc>
        <w:tc>
          <w:tcPr>
            <w:tcW w:type="dxa" w:w="2721"/>
            <w:shd w:val="clear" w:fill="DEEAF6"/>
          </w:tcPr>
          <w:p>
            <w:pPr>
              <w:jc w:val="center"/>
            </w:pPr>
            <w:r>
              <w:rPr>
                <w:b/>
                <w:sz w:val="16"/>
              </w:rPr>
              <w:t>Angle from zenith</w:t>
            </w:r>
          </w:p>
        </w:tc>
        <w:tc>
          <w:tcPr>
            <w:tcW w:type="dxa" w:w="2721"/>
            <w:shd w:val="clear" w:fill="DEEAF6"/>
          </w:tcPr>
          <w:p>
            <w:pPr>
              <w:jc w:val="center"/>
            </w:pPr>
            <w:r>
              <w:rPr>
                <w:b/>
                <w:sz w:val="16"/>
              </w:rPr>
              <w:t>Height above horizon</w:t>
            </w:r>
          </w:p>
        </w:tc>
      </w:tr>
      <w:tr>
        <w:tc>
          <w:tcPr>
            <w:tcW w:type="dxa" w:w="3628"/>
          </w:tcPr>
          <w:p>
            <w:r>
              <w:rPr>
                <w:sz w:val="16"/>
              </w:rPr>
              <w:t>0 m</w:t>
            </w:r>
          </w:p>
        </w:tc>
        <w:tc>
          <w:tcPr>
            <w:tcW w:type="dxa" w:w="2721"/>
          </w:tcPr>
          <w:p>
            <w:pPr>
              <w:jc w:val="center"/>
            </w:pPr>
            <w:r>
              <w:rPr>
                <w:sz w:val="16"/>
              </w:rPr>
              <w:t>0.0°</w:t>
            </w:r>
          </w:p>
        </w:tc>
        <w:tc>
          <w:tcPr>
            <w:tcW w:type="dxa" w:w="2721"/>
          </w:tcPr>
          <w:p>
            <w:pPr>
              <w:jc w:val="center"/>
            </w:pPr>
            <w:r>
              <w:rPr>
                <w:sz w:val="16"/>
              </w:rPr>
              <w:t>90.0°</w:t>
            </w:r>
          </w:p>
        </w:tc>
      </w:tr>
      <w:tr>
        <w:tc>
          <w:tcPr>
            <w:tcW w:type="dxa" w:w="3628"/>
          </w:tcPr>
          <w:p>
            <w:r>
              <w:rPr>
                <w:sz w:val="16"/>
              </w:rPr>
              <w:t>1000 m</w:t>
            </w:r>
          </w:p>
        </w:tc>
        <w:tc>
          <w:tcPr>
            <w:tcW w:type="dxa" w:w="2721"/>
          </w:tcPr>
          <w:p>
            <w:pPr>
              <w:jc w:val="center"/>
            </w:pPr>
            <w:r>
              <w:rPr>
                <w:sz w:val="16"/>
              </w:rPr>
              <w:t>11.3°</w:t>
            </w:r>
          </w:p>
        </w:tc>
        <w:tc>
          <w:tcPr>
            <w:tcW w:type="dxa" w:w="2721"/>
          </w:tcPr>
          <w:p>
            <w:pPr>
              <w:jc w:val="center"/>
            </w:pPr>
            <w:r>
              <w:rPr>
                <w:sz w:val="16"/>
              </w:rPr>
              <w:t>78.7°</w:t>
            </w:r>
          </w:p>
        </w:tc>
      </w:tr>
      <w:tr>
        <w:tc>
          <w:tcPr>
            <w:tcW w:type="dxa" w:w="3628"/>
          </w:tcPr>
          <w:p>
            <w:r>
              <w:rPr>
                <w:sz w:val="16"/>
              </w:rPr>
              <w:t>5000 m</w:t>
            </w:r>
          </w:p>
        </w:tc>
        <w:tc>
          <w:tcPr>
            <w:tcW w:type="dxa" w:w="2721"/>
          </w:tcPr>
          <w:p>
            <w:pPr>
              <w:jc w:val="center"/>
            </w:pPr>
            <w:r>
              <w:rPr>
                <w:sz w:val="16"/>
              </w:rPr>
              <w:t>45.0°</w:t>
            </w:r>
          </w:p>
        </w:tc>
        <w:tc>
          <w:tcPr>
            <w:tcW w:type="dxa" w:w="2721"/>
          </w:tcPr>
          <w:p>
            <w:pPr>
              <w:jc w:val="center"/>
            </w:pPr>
            <w:r>
              <w:rPr>
                <w:sz w:val="16"/>
              </w:rPr>
              <w:t>45.0°</w:t>
            </w:r>
          </w:p>
        </w:tc>
      </w:tr>
      <w:tr>
        <w:tc>
          <w:tcPr>
            <w:tcW w:type="dxa" w:w="3628"/>
          </w:tcPr>
          <w:p>
            <w:r>
              <w:rPr>
                <w:sz w:val="16"/>
              </w:rPr>
              <w:t>10000 m</w:t>
            </w:r>
          </w:p>
        </w:tc>
        <w:tc>
          <w:tcPr>
            <w:tcW w:type="dxa" w:w="2721"/>
          </w:tcPr>
          <w:p>
            <w:pPr>
              <w:jc w:val="center"/>
            </w:pPr>
            <w:r>
              <w:rPr>
                <w:sz w:val="16"/>
              </w:rPr>
              <w:t>63.4°</w:t>
            </w:r>
          </w:p>
        </w:tc>
        <w:tc>
          <w:tcPr>
            <w:tcW w:type="dxa" w:w="2721"/>
          </w:tcPr>
          <w:p>
            <w:pPr>
              <w:jc w:val="center"/>
            </w:pPr>
            <w:r>
              <w:rPr>
                <w:sz w:val="16"/>
              </w:rPr>
              <w:t>26.6°</w:t>
            </w:r>
          </w:p>
        </w:tc>
      </w:tr>
      <w:tr>
        <w:tc>
          <w:tcPr>
            <w:tcW w:type="dxa" w:w="3628"/>
          </w:tcPr>
          <w:p>
            <w:r>
              <w:rPr>
                <w:sz w:val="16"/>
              </w:rPr>
              <w:t>20000 m</w:t>
            </w:r>
          </w:p>
        </w:tc>
        <w:tc>
          <w:tcPr>
            <w:tcW w:type="dxa" w:w="2721"/>
          </w:tcPr>
          <w:p>
            <w:pPr>
              <w:jc w:val="center"/>
            </w:pPr>
            <w:r>
              <w:rPr>
                <w:sz w:val="16"/>
              </w:rPr>
              <w:t>76.0°</w:t>
            </w:r>
          </w:p>
        </w:tc>
        <w:tc>
          <w:tcPr>
            <w:tcW w:type="dxa" w:w="2721"/>
          </w:tcPr>
          <w:p>
            <w:pPr>
              <w:jc w:val="center"/>
            </w:pPr>
            <w:r>
              <w:rPr>
                <w:sz w:val="16"/>
              </w:rPr>
              <w:t>14.0°</w:t>
            </w:r>
          </w:p>
        </w:tc>
      </w:tr>
      <w:tr>
        <w:tc>
          <w:tcPr>
            <w:tcW w:type="dxa" w:w="3628"/>
          </w:tcPr>
          <w:p>
            <w:r>
              <w:rPr>
                <w:sz w:val="16"/>
              </w:rPr>
              <w:t>24500 m (end pole)</w:t>
            </w:r>
          </w:p>
        </w:tc>
        <w:tc>
          <w:tcPr>
            <w:tcW w:type="dxa" w:w="2721"/>
          </w:tcPr>
          <w:p>
            <w:pPr>
              <w:jc w:val="center"/>
            </w:pPr>
            <w:r>
              <w:rPr>
                <w:sz w:val="16"/>
              </w:rPr>
              <w:t>78.5°</w:t>
            </w:r>
          </w:p>
        </w:tc>
        <w:tc>
          <w:tcPr>
            <w:tcW w:type="dxa" w:w="2721"/>
          </w:tcPr>
          <w:p>
            <w:pPr>
              <w:jc w:val="center"/>
            </w:pPr>
            <w:r>
              <w:rPr>
                <w:sz w:val="16"/>
              </w:rPr>
              <w:t>11.5°</w:t>
            </w:r>
          </w:p>
        </w:tc>
      </w:tr>
    </w:tbl>
    <w:p>
      <w:r>
        <w:t>The OSB looks like straight lines of light diverging from the zenith towards both horizons and descending to 14° above the horizon at the ends. The source is extended: 71 % of the light arrives from axis sections within ±5000 m, that is from a cone of half-angle 45°. Therefore an object has not one shadow but a penumbra formed by the whole length of the beam.</w:t>
      </w:r>
    </w:p>
    <w:p>
      <w:pPr>
        <w:pStyle w:val="Heading2"/>
      </w:pPr>
      <w:r>
        <w:t>22.3. Scale of the view and illuminance</w:t>
      </w:r>
    </w:p>
    <w:p>
      <w:r>
        <w:t>On the opposite side, at a distance of 10 km, angular sizes are small: a person 1.7 m tall gives 0.58′ — at the resolution threshold of the eye; a tree 10 m tall — 3.4′; a building 100 m tall — 34.4′. The inverted landscape reads as a landscape, but people on it are not distinguishable.</w:t>
      </w:r>
    </w:p>
    <w:p>
      <w:r>
        <w:t>The illuminance in the lit band is 13 800–17 800 lux at 148 W/m² (para. 4.13.4, coefficient 93–120 lux per W/m²). For comparison: bright shade on Earth is 10 000–25 000 lux. The dark band occupies half the length of the cylinder, so at any moment 20 km out of 40 km are lit and the daylight period is 11.75 h with a full cycle of 23.5 h.</w:t>
      </w:r>
    </w:p>
    <w:p>
      <w:pPr>
        <w:pStyle w:val="Heading2"/>
      </w:pPr>
      <w:r>
        <w:t>22.4. Results of the section</w:t>
      </w:r>
    </w:p>
    <w:p>
      <w:pPr>
        <w:pStyle w:val="ListBullet"/>
      </w:pPr>
      <w:r>
        <w:t>It is established that the visual world of the station is anisotropic: a horizon of 131 m across the axis and unlimited along it.</w:t>
      </w:r>
    </w:p>
    <w:p>
      <w:pPr>
        <w:pStyle w:val="ListBullet"/>
      </w:pPr>
      <w:r>
        <w:t>It is established that the light source is an extended line, not a disc.</w:t>
      </w:r>
    </w:p>
    <w:p>
      <w:pPr>
        <w:pStyle w:val="ListBullet"/>
      </w:pPr>
      <w:r>
        <w:t>A design consequence is revealed: reliance on visual landmarks along the axis works, across the axis it does not. Navigation and addressing (para. 12.5.1) must rely on the axial coordinate.</w:t>
      </w:r>
    </w:p>
    <w:p>
      <w:pPr>
        <w:pStyle w:val="ListBullet"/>
      </w:pPr>
      <w:r>
        <w:t>A psychophysical consequence is revealed: the observer constantly sees an inverted landscape overhead at a distance of 10 km with no sky, stars or Sun. This should be added to para. 15.2 as a separate factor, alongside closedness.</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