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18"/>
        </w:rPr>
        <w:t>ММОСО'Н — модуль моделирования орбитальной станции О'Нилла</w:t>
      </w:r>
    </w:p>
    <w:p>
      <w:pPr>
        <w:jc w:val="center"/>
      </w:pPr>
      <w:r>
        <w:rPr>
          <w:i/>
          <w:sz w:val="18"/>
        </w:rPr>
        <w:t>Раздел 23 / Section 23</w:t>
      </w:r>
    </w:p>
    <w:p>
      <w:pPr>
        <w:jc w:val="center"/>
      </w:pPr>
      <w:r>
        <w:rPr>
          <w:b/>
          <w:color w:val="1F3864"/>
          <w:sz w:val="26"/>
        </w:rPr>
        <w:t>23. ХИМИЯ ВОЗДУХА НА СТОЛЕТИЯ</w:t>
      </w:r>
    </w:p>
    <w:p>
      <w:pPr>
        <w:jc w:val="center"/>
      </w:pPr>
      <w:r>
        <w:rPr>
          <w:b/>
          <w:color w:val="1F3864"/>
          <w:sz w:val="26"/>
        </w:rPr>
        <w:t>23. AIR CHEMISTRY OVER CENTURIES</w:t>
      </w:r>
    </w:p>
    <w:p>
      <w:pPr>
        <w:jc w:val="center"/>
      </w:pPr>
      <w:r>
        <w:rPr>
          <w:i/>
          <w:sz w:val="17"/>
        </w:rPr>
        <w:t>Редакция 8 · 31 октября 2026 г.  ·  документ 25 из 43</w:t>
      </w:r>
    </w:p>
    <w:p>
      <w:pPr>
        <w:jc w:val="center"/>
      </w:pPr>
      <w:r>
        <w:rPr>
          <w:color w:val="808080"/>
          <w:sz w:val="16"/>
        </w:rPr>
        <w:t>——————————————————————————————————</w:t>
      </w:r>
    </w:p>
    <w:p>
      <w:pPr>
        <w:spacing w:before="200"/>
        <w:jc w:val="center"/>
      </w:pPr>
      <w:r>
        <w:rPr>
          <w:b/>
          <w:color w:val="2E5496"/>
          <w:sz w:val="17"/>
        </w:rPr>
        <w:t>РУССКАЯ РЕДАКЦИЯ / РУССКИЙ ТЕКСТ</w:t>
      </w:r>
    </w:p>
    <w:p>
      <w:pPr>
        <w:pStyle w:val="Heading1"/>
      </w:pPr>
      <w:r>
        <w:t>23. ХИМИЯ ВОЗДУХА НА СТОЛЕТИЯ</w:t>
      </w:r>
    </w:p>
    <w:p>
      <w:r>
        <w:t>Публикация рассматривает газовый баланс (п. 6.1), круговорот веществ (п. 6.2) и кислородный баланс во времени (раздел 16). Однако химия воздуха как таковая — малые примеси, продукты испарения материалов, озон — не рассчитана. Для замкнутого объёма на столетия это самостоятельная задача.</w:t>
      </w:r>
    </w:p>
    <w:p>
      <w:pPr>
        <w:pStyle w:val="Heading2"/>
      </w:pPr>
      <w:r>
        <w:t>23.1. Масштаб: отношение поверхности к объёму</w:t>
      </w:r>
    </w:p>
    <w:p>
      <w:r>
        <w:t>Объём воздуха двух цилиндров 7,226·10¹² м³ при внутренней поверхности 3,100·10⁹ м². Отношение S/V = 4,29·10⁻⁴ 1/м — примерно в 7000 раз меньше, чем в жилом помещении (≈3 1/м). Все процессы, которые в комнате идут за часы, здесь идут за десятилетия: объём слишком велик, а поверхности слишком мало.</w:t>
      </w:r>
    </w:p>
    <w:p>
      <w:pPr>
        <w:pStyle w:val="Heading2"/>
      </w:pPr>
      <w:r>
        <w:t>23.2. Озон</w:t>
      </w:r>
    </w:p>
    <w:p>
      <w:r>
        <w:t>Озонообразование включается любым излучением короче 242 нм: фотон разлагает O₂, атом соединяется с молекулой. Стационарная концентрация определяется балансом образования и осаждения на поверхности.</w:t>
      </w:r>
    </w:p>
    <w:p>
      <w:pPr>
        <w:pStyle w:val="Caption"/>
        <w:jc w:val="center"/>
      </w:pPr>
      <w:r>
        <w:t>Таблица 23.1 — Условия удержания 0,1 ppm озона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3969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Скорость осаждения O₃</w:t>
            </w:r>
          </w:p>
        </w:tc>
        <w:tc>
          <w:tcPr>
            <w:tcW w:type="dxa" w:w="4082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Мощность УФ-С (185 нм) для 0,1 ppm</w:t>
            </w:r>
          </w:p>
        </w:tc>
      </w:tr>
      <w:tr>
        <w:tc>
          <w:tcPr>
            <w:tcW w:type="dxa" w:w="3969"/>
          </w:tcPr>
          <w:p>
            <w:r>
              <w:rPr>
                <w:sz w:val="16"/>
              </w:rPr>
              <w:t>0,01 см/с</w:t>
            </w:r>
          </w:p>
        </w:tc>
        <w:tc>
          <w:tcPr>
            <w:tcW w:type="dxa" w:w="4082"/>
          </w:tcPr>
          <w:p>
            <w:pPr>
              <w:jc w:val="center"/>
            </w:pPr>
            <w:r>
              <w:rPr>
                <w:sz w:val="16"/>
              </w:rPr>
              <w:t>0,93 МВт</w:t>
            </w:r>
          </w:p>
        </w:tc>
      </w:tr>
      <w:tr>
        <w:tc>
          <w:tcPr>
            <w:tcW w:type="dxa" w:w="3969"/>
          </w:tcPr>
          <w:p>
            <w:r>
              <w:rPr>
                <w:sz w:val="16"/>
              </w:rPr>
              <w:t>0,05 см/с</w:t>
            </w:r>
          </w:p>
        </w:tc>
        <w:tc>
          <w:tcPr>
            <w:tcW w:type="dxa" w:w="4082"/>
          </w:tcPr>
          <w:p>
            <w:pPr>
              <w:jc w:val="center"/>
            </w:pPr>
            <w:r>
              <w:rPr>
                <w:sz w:val="16"/>
              </w:rPr>
              <w:t>4,63 МВт</w:t>
            </w:r>
          </w:p>
        </w:tc>
      </w:tr>
      <w:tr>
        <w:tc>
          <w:tcPr>
            <w:tcW w:type="dxa" w:w="3969"/>
          </w:tcPr>
          <w:p>
            <w:r>
              <w:rPr>
                <w:sz w:val="16"/>
              </w:rPr>
              <w:t>0,20 см/с</w:t>
            </w:r>
          </w:p>
        </w:tc>
        <w:tc>
          <w:tcPr>
            <w:tcW w:type="dxa" w:w="4082"/>
          </w:tcPr>
          <w:p>
            <w:pPr>
              <w:jc w:val="center"/>
            </w:pPr>
            <w:r>
              <w:rPr>
                <w:sz w:val="16"/>
              </w:rPr>
              <w:t>18,5 МВт</w:t>
            </w:r>
          </w:p>
        </w:tc>
      </w:tr>
    </w:tbl>
    <w:p>
      <w:r>
        <w:t>Практическое правило: 1 кВт ультрафиолетового излучения с длиной волны 185 нм даёт в атмосфере станции 0,022 ppb озона. Четыре мегаватта такого излучения — это 0,00064 % мощности станции, то есть величина, которую легко пропустить в спектре ОСБ. Порог 0,1 ppm — граница восьмичасового воздействия на человека.</w:t>
      </w:r>
    </w:p>
    <w:p>
      <w:r>
        <w:t>Проектное следствие однозначно: спектр ОСБ (п. 4.13.4) должен быть жёстко ограничен снизу по длине волны, примерно 280 нм. Ультрафиолет B (280–315 нм), необходимый для синтеза витамина D, кислород не поглощает и озон не образует; УФ-С (185–242 нм) должен быть исключён или снабжён каталитическим разрушителем озона.</w:t>
      </w:r>
    </w:p>
    <w:p>
      <w:pPr>
        <w:pStyle w:val="Heading2"/>
      </w:pPr>
      <w:r>
        <w:t>23.3. Летучие органические соединения</w:t>
      </w:r>
    </w:p>
    <w:p>
      <w:r>
        <w:t>Полимеры, краски, герметики и текстиль испаряются годами. Если испускающую поверхность принять равной половине внутренней (1,55·10⁹ м²), накопление без очистки таково:</w:t>
      </w:r>
    </w:p>
    <w:p>
      <w:pPr>
        <w:pStyle w:val="Caption"/>
        <w:jc w:val="center"/>
      </w:pPr>
      <w:r>
        <w:t>Таблица 23.2 — Накопление ЛОС без очистки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260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Эмиссия</w:t>
            </w:r>
          </w:p>
        </w:tc>
        <w:tc>
          <w:tcPr>
            <w:tcW w:type="dxa" w:w="294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Всего в атмосферу</w:t>
            </w:r>
          </w:p>
        </w:tc>
        <w:tc>
          <w:tcPr>
            <w:tcW w:type="dxa" w:w="2494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Накопление за год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10 мкг/(м²·ч)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15,5 кг/ч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sz w:val="16"/>
              </w:rPr>
              <w:t>0,019 мг/м³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100 мкг/(м²·ч)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155 кг/ч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sz w:val="16"/>
              </w:rPr>
              <w:t>0,188 мг/м³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1000 мкг/(м²·ч)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1550 кг/ч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sz w:val="16"/>
              </w:rPr>
              <w:t>1,879 мг/м³</w:t>
            </w:r>
          </w:p>
        </w:tc>
      </w:tr>
    </w:tbl>
    <w:p>
      <w:r>
        <w:t>Для удержания 300 мкг/м³ при эмиссии 100 мкг/(м²·ч) требуется уничтожать 1,4·10⁵ м³/с, что соответствует обороту всей атмосферы станции раз в 583 суток. При 1000 мкг/(м²·ч) — раз в 58 суток. Энергетически это дешево (каталитическое окисление), трудоёмко по потоку: нужна система принудительного отбора, работающая постоянно в первый период жизни станции.</w:t>
      </w:r>
    </w:p>
    <w:p>
      <w:pPr>
        <w:pStyle w:val="Heading2"/>
      </w:pPr>
      <w:r>
        <w:t>23.4. Метан</w:t>
      </w:r>
    </w:p>
    <w:p>
      <w:r>
        <w:t>1 ppm метана в атмосфере станции — это 4182 т. До нижнего концентрационного предела воспламенения (5 %, то есть 209 Мт) при источнике 1000 т/год нужно 209 000 лет. Как пожароопасность метан на станции не существует; как потеря углерода и водорода и как участник химии атмосферы он существует, и его нужно учитывать в балансе, а не в безопасности.</w:t>
      </w:r>
    </w:p>
    <w:p>
      <w:pPr>
        <w:pStyle w:val="Heading2"/>
      </w:pPr>
      <w:r>
        <w:t>23.5. Результаты раздела</w:t>
      </w:r>
    </w:p>
    <w:p>
      <w:pPr>
        <w:pStyle w:val="ListBullet"/>
      </w:pPr>
      <w:r>
        <w:t>Показано, что малые примеси в объёме станции живут десятилетиями и что S/V — определяющий параметр, отсутствующий в публикации.</w:t>
      </w:r>
    </w:p>
    <w:p>
      <w:pPr>
        <w:pStyle w:val="ListBullet"/>
      </w:pPr>
      <w:r>
        <w:t>Получено жёсткое требование к спектру ОСБ: не ниже 280 нм.</w:t>
      </w:r>
    </w:p>
    <w:p>
      <w:pPr>
        <w:pStyle w:val="ListBullet"/>
      </w:pPr>
      <w:r>
        <w:t>Показано, что ЛОС от 1550 км² новых поверхностей дадут за первый год 0,2–1,9 мг/м³, то есть сопоставимо с нормой для жилых помещений.</w:t>
      </w:r>
    </w:p>
    <w:p>
      <w:pPr>
        <w:pStyle w:val="ListBullet"/>
      </w:pPr>
      <w:r>
        <w:t>Установлено, что метан — вопрос баланса, а не безопасности.</w:t>
      </w:r>
    </w:p>
    <w:p>
      <w:pPr>
        <w:spacing w:before="200"/>
        <w:jc w:val="center"/>
      </w:pPr>
      <w:r>
        <w:rPr>
          <w:b/>
          <w:color w:val="2E5496"/>
          <w:sz w:val="17"/>
        </w:rPr>
        <w:t>ENGLISH EDITION</w:t>
      </w:r>
    </w:p>
    <w:p>
      <w:pPr>
        <w:pStyle w:val="Heading1"/>
      </w:pPr>
      <w:r>
        <w:t>23. AIR CHEMISTRY OVER CENTURIES</w:t>
      </w:r>
    </w:p>
    <w:p>
      <w:r>
        <w:t>The publication treats the gas balance (para. 6.1), the cycling of matter (para. 6.2) and the oxygen balance in time (Section 16). However air chemistry as such — trace impurities, products of material emission, ozone — is not calculated. For a closed volume over centuries this is an independent task.</w:t>
      </w:r>
    </w:p>
    <w:p>
      <w:pPr>
        <w:pStyle w:val="Heading2"/>
      </w:pPr>
      <w:r>
        <w:t>23.1. Scale: the surface-to-volume ratio</w:t>
      </w:r>
    </w:p>
    <w:p>
      <w:r>
        <w:t>The air volume of two cylinders is 7.226·10¹² m³ at an internal surface of 3.100·10⁹ m². The ratio S/V = 4.29·10⁻⁴ 1/m — about seven thousand times smaller than in a living room (≈3 1/m). All processes that take hours in a room take decades here: the volume is too large and the surfaces too small.</w:t>
      </w:r>
    </w:p>
    <w:p>
      <w:pPr>
        <w:pStyle w:val="Heading2"/>
      </w:pPr>
      <w:r>
        <w:t>23.2. Ozone</w:t>
      </w:r>
    </w:p>
    <w:p>
      <w:r>
        <w:t>Ozone formation is triggered by any radiation shorter than 242 nm: a photon splits O₂ and the atom combines with a molecule. The stationary concentration is determined by the balance of formation and deposition on surfaces.</w:t>
      </w:r>
    </w:p>
    <w:p>
      <w:pPr>
        <w:pStyle w:val="Caption"/>
        <w:jc w:val="center"/>
      </w:pPr>
      <w:r>
        <w:t>Table 23.1 — Conditions for holding 0.1 ppm of ozone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3969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O₃ deposition velocity</w:t>
            </w:r>
          </w:p>
        </w:tc>
        <w:tc>
          <w:tcPr>
            <w:tcW w:type="dxa" w:w="4082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UV-C power (185 nm) for 0.1 ppm</w:t>
            </w:r>
          </w:p>
        </w:tc>
      </w:tr>
      <w:tr>
        <w:tc>
          <w:tcPr>
            <w:tcW w:type="dxa" w:w="3969"/>
          </w:tcPr>
          <w:p>
            <w:r>
              <w:rPr>
                <w:sz w:val="16"/>
              </w:rPr>
              <w:t>0.01 cm/s</w:t>
            </w:r>
          </w:p>
        </w:tc>
        <w:tc>
          <w:tcPr>
            <w:tcW w:type="dxa" w:w="4082"/>
          </w:tcPr>
          <w:p>
            <w:pPr>
              <w:jc w:val="center"/>
            </w:pPr>
            <w:r>
              <w:rPr>
                <w:sz w:val="16"/>
              </w:rPr>
              <w:t>0.93 MW</w:t>
            </w:r>
          </w:p>
        </w:tc>
      </w:tr>
      <w:tr>
        <w:tc>
          <w:tcPr>
            <w:tcW w:type="dxa" w:w="3969"/>
          </w:tcPr>
          <w:p>
            <w:r>
              <w:rPr>
                <w:sz w:val="16"/>
              </w:rPr>
              <w:t>0.05 cm/s</w:t>
            </w:r>
          </w:p>
        </w:tc>
        <w:tc>
          <w:tcPr>
            <w:tcW w:type="dxa" w:w="4082"/>
          </w:tcPr>
          <w:p>
            <w:pPr>
              <w:jc w:val="center"/>
            </w:pPr>
            <w:r>
              <w:rPr>
                <w:sz w:val="16"/>
              </w:rPr>
              <w:t>4.63 MW</w:t>
            </w:r>
          </w:p>
        </w:tc>
      </w:tr>
      <w:tr>
        <w:tc>
          <w:tcPr>
            <w:tcW w:type="dxa" w:w="3969"/>
          </w:tcPr>
          <w:p>
            <w:r>
              <w:rPr>
                <w:sz w:val="16"/>
              </w:rPr>
              <w:t>0.20 cm/s</w:t>
            </w:r>
          </w:p>
        </w:tc>
        <w:tc>
          <w:tcPr>
            <w:tcW w:type="dxa" w:w="4082"/>
          </w:tcPr>
          <w:p>
            <w:pPr>
              <w:jc w:val="center"/>
            </w:pPr>
            <w:r>
              <w:rPr>
                <w:sz w:val="16"/>
              </w:rPr>
              <w:t>18.5 MW</w:t>
            </w:r>
          </w:p>
        </w:tc>
      </w:tr>
    </w:tbl>
    <w:p>
      <w:r>
        <w:t>A practical rule: 1 kW of ultraviolet radiation at a wavelength of 185 nm gives 0.022 ppb of ozone in the station atmosphere. Four megawatts of such radiation is 0.00064 % of the station power, that is a quantity easily missed in the OSB spectrum. The threshold of 0.1 ppm is the boundary of eight-hour human exposure.</w:t>
      </w:r>
    </w:p>
    <w:p>
      <w:r>
        <w:t>The design consequence is unambiguous: the OSB spectrum (para. 4.13.4) must be strictly limited from below in wavelength, at about 280 nm. Ultraviolet B (280–315 nm), needed for vitamin D synthesis, is not absorbed by oxygen and does not form ozone; UV-C (185–242 nm) must be excluded or provided with a catalytic ozone destructor.</w:t>
      </w:r>
    </w:p>
    <w:p>
      <w:pPr>
        <w:pStyle w:val="Heading2"/>
      </w:pPr>
      <w:r>
        <w:t>23.3. Volatile organic compounds</w:t>
      </w:r>
    </w:p>
    <w:p>
      <w:r>
        <w:t>Polymers, paints, sealants and textiles emit for years. If the emitting surface is taken as half the internal one (1.55·10⁹ m²), accumulation without cleaning is as follows:</w:t>
      </w:r>
    </w:p>
    <w:p>
      <w:pPr>
        <w:pStyle w:val="Caption"/>
        <w:jc w:val="center"/>
      </w:pPr>
      <w:r>
        <w:t>Table 23.2 — Accumulation of VOCs without cleaning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260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Emission</w:t>
            </w:r>
          </w:p>
        </w:tc>
        <w:tc>
          <w:tcPr>
            <w:tcW w:type="dxa" w:w="294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Total into the atmosphere</w:t>
            </w:r>
          </w:p>
        </w:tc>
        <w:tc>
          <w:tcPr>
            <w:tcW w:type="dxa" w:w="2494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Accumulation per year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10 µg/(m²·h)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15.5 kg/h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sz w:val="16"/>
              </w:rPr>
              <w:t>0.019 mg/m³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100 µg/(m²·h)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155 kg/h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sz w:val="16"/>
              </w:rPr>
              <w:t>0.188 mg/m³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1000 µg/(m²·h)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1550 kg/h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sz w:val="16"/>
              </w:rPr>
              <w:t>1.879 mg/m³</w:t>
            </w:r>
          </w:p>
        </w:tc>
      </w:tr>
    </w:tbl>
    <w:p>
      <w:r>
        <w:t>To hold 300 µg/m³ at an emission of 100 µg/(m²·h) it is necessary to destroy 1.4·10⁵ m³/s, which corresponds to one turnover of the whole station atmosphere every 583 days. At 1000 µg/(m²·h) — every 58 days. Energetically this is cheap (catalytic oxidation), laborious in flow: a forced extraction system is needed, working continuously during the first period of the station’s life.</w:t>
      </w:r>
    </w:p>
    <w:p>
      <w:pPr>
        <w:pStyle w:val="Heading2"/>
      </w:pPr>
      <w:r>
        <w:t>23.4. Methane</w:t>
      </w:r>
    </w:p>
    <w:p>
      <w:r>
        <w:t>1 ppm of methane in the station atmosphere is 4182 t. Up to the lower flammability limit (5 %, that is 209 Mt) at a source of 1000 t/year, 209 000 years are needed. As a fire hazard methane does not exist on the station; as a loss of carbon and hydrogen and as a participant of atmospheric chemistry it does exist, and it must be accounted for in the balance, not in safety.</w:t>
      </w:r>
    </w:p>
    <w:p>
      <w:pPr>
        <w:pStyle w:val="Heading2"/>
      </w:pPr>
      <w:r>
        <w:t>23.5. Results of the section</w:t>
      </w:r>
    </w:p>
    <w:p>
      <w:pPr>
        <w:pStyle w:val="ListBullet"/>
      </w:pPr>
      <w:r>
        <w:t>It is shown that trace impurities in the station volume live for decades and that S/V is the determining parameter, absent from the publication.</w:t>
      </w:r>
    </w:p>
    <w:p>
      <w:pPr>
        <w:pStyle w:val="ListBullet"/>
      </w:pPr>
      <w:r>
        <w:t>A strict requirement on the OSB spectrum is obtained: not below 280 nm.</w:t>
      </w:r>
    </w:p>
    <w:p>
      <w:pPr>
        <w:pStyle w:val="ListBullet"/>
      </w:pPr>
      <w:r>
        <w:t>It is shown that VOCs from 1550 km² of new surfaces will give 0.2–1.9 mg/m³ in the first year, comparable to the norm for living premises.</w:t>
      </w:r>
    </w:p>
    <w:p>
      <w:pPr>
        <w:pStyle w:val="ListBullet"/>
      </w:pPr>
      <w:r>
        <w:t>It is established that methane is a matter of balance, not of safety.</w:t>
      </w:r>
    </w:p>
    <w:p/>
    <w:p>
      <w:pPr>
        <w:spacing w:before="200"/>
        <w:jc w:val="center"/>
      </w:pPr>
      <w:r>
        <w:rPr>
          <w:b/>
          <w:color w:val="2E5496"/>
          <w:sz w:val="17"/>
        </w:rPr>
        <w:t>СПИСОК ЛИТЕРАТУРЫ РАЗДЕЛА / REFERENCES OF THIS SECTION</w:t>
      </w:r>
    </w:p>
    <w:p>
      <w:pPr>
        <w:ind w:left="340" w:hanging="340"/>
      </w:pPr>
      <w:r>
        <w:rPr>
          <w:sz w:val="18"/>
        </w:rPr>
        <w:t>1. Severinghaus J. P., Broecker W. F., Dempster T. F., MacCallum T., Wahlen M. Oxygen loss in Biosphere 2 // Eos, Transactions American Geophysical Union. 1994. Vol. 75, No. 3. P. 33–37. doi:10.1029/94EO00285.</w:t>
      </w:r>
    </w:p>
    <w:p>
      <w:pPr>
        <w:ind w:left="340" w:hanging="340"/>
      </w:pPr>
      <w:r>
        <w:rPr>
          <w:sz w:val="18"/>
        </w:rPr>
        <w:t>1. Severinghaus J. P., Broecker W. F., Dempster T. F., MacCallum T., Wahlen M. Oxygen loss in Biosphere 2 // Eos, Transactions American Geophysical Union. 1994. Vol. 75, No. 3. P. 33–37. doi:10.1029/94EO00285.</w:t>
      </w:r>
    </w:p>
    <w:p>
      <w:r>
        <w:rPr>
          <w:b/>
          <w:sz w:val="18"/>
        </w:rPr>
        <w:t>Кроме того, раздел опирается на собственные допущения публикации:</w:t>
      </w:r>
    </w:p>
    <w:p>
      <w:pPr>
        <w:ind w:left="340" w:hanging="340"/>
      </w:pPr>
      <w:r>
        <w:rPr>
          <w:sz w:val="18"/>
        </w:rPr>
        <w:t>· Эксперимент «Биосфера-2», 1991–1993 гг.: падение объёмной доли кислорода с 20,9 до 14,2 % за шестнадцать месяцев.</w:t>
      </w:r>
    </w:p>
    <w:p>
      <w:pPr>
        <w:ind w:left="340" w:hanging="340"/>
      </w:pPr>
      <w:r>
        <w:rPr>
          <w:sz w:val="18"/>
        </w:rPr>
        <w:t>· Biosphere 2 experiment, 1991–1993: oxygen volume fraction fell from 20.9 % to 14.2 % over sixteen months.</w:t>
      </w:r>
    </w:p>
    <w:p>
      <w:pPr>
        <w:ind w:left="340" w:hanging="340"/>
      </w:pPr>
      <w:r>
        <w:rPr>
          <w:sz w:val="18"/>
        </w:rPr>
        <w:t>· Биосфера: балансы газов, воды и продовольствия являются системной моделью и набором допущений.</w:t>
      </w:r>
    </w:p>
    <w:p>
      <w:pPr>
        <w:ind w:left="340" w:hanging="340"/>
      </w:pPr>
      <w:r>
        <w:rPr>
          <w:sz w:val="18"/>
        </w:rPr>
        <w:t>· Biosphere: gas, water and food balances are a system model and a set of assumptions.</w:t>
      </w:r>
    </w:p>
    <w:sectPr w:rsidR="00FC693F" w:rsidRPr="0006063C" w:rsidSect="00034616">
      <w:pgSz w:w="11906" w:h="16838"/>
      <w:pgMar w:top="1134" w:right="96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1F386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