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24 / Section 24</w:t>
      </w:r>
    </w:p>
    <w:p>
      <w:pPr>
        <w:jc w:val="center"/>
      </w:pPr>
      <w:r>
        <w:rPr>
          <w:b/>
          <w:color w:val="1F3864"/>
          <w:sz w:val="26"/>
        </w:rPr>
        <w:t>24. ПОЧВА КАК ИНЖЕНЕРНЫЙ ПРОФИЛЬ</w:t>
      </w:r>
    </w:p>
    <w:p>
      <w:pPr>
        <w:jc w:val="center"/>
      </w:pPr>
      <w:r>
        <w:rPr>
          <w:b/>
          <w:color w:val="1F3864"/>
          <w:sz w:val="26"/>
        </w:rPr>
        <w:t>24. SOIL AS AN ENGINEERED PROFILE</w:t>
      </w:r>
    </w:p>
    <w:p>
      <w:pPr>
        <w:jc w:val="center"/>
      </w:pPr>
      <w:r>
        <w:rPr>
          <w:i/>
          <w:sz w:val="17"/>
        </w:rPr>
        <w:t>Редакция 8 · 31 октября 2026 г.  ·  документ 26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24. ПОЧВА КАК ИНЖЕНЕРНЫЙ ПРОФИЛЬ</w:t>
      </w:r>
    </w:p>
    <w:p>
      <w:r>
        <w:t>В публикации есть почвенная биота (п. 15.1), структура посевных площадей (п. 5.2) и продуктивность. Однако грунт как несущий инженерный элемент — профиль, дренаж, солевой баланс на столетия — не рассмотрен.</w:t>
      </w:r>
    </w:p>
    <w:p>
      <w:pPr>
        <w:pStyle w:val="Heading2"/>
      </w:pPr>
      <w:r>
        <w:t>24.1. Рельеф отсутствует</w:t>
      </w:r>
    </w:p>
    <w:p>
      <w:r>
        <w:t>Внутренняя поверхность цилиндра всюду перпендикулярна местной вертикали, значит уклон равен нулю. Сток под действием тяжести невозможен в принципе: на станции нет ни рек в естественном смысле, ни склонов. Водосбор, дренаж и орошение — исключительно инженерные системы, и их надо рассчитывать не как улучшение природного стока, а как полную его замену.</w:t>
      </w:r>
    </w:p>
    <w:p>
      <w:pPr>
        <w:pStyle w:val="Heading2"/>
      </w:pPr>
      <w:r>
        <w:t>24.2. Эрозия</w:t>
      </w:r>
    </w:p>
    <w:p>
      <w:r>
        <w:t>Запас твёрдой фазы в профиле 1,5 м составляет 2850 кг/м². При смыве 0,1 кг/(м²·год) — верхняя оценка для задернованной поверхности — профиль держится 28 500 лет, при 1 кг/(м²·год) — 2850 лет. Эрозия на станции не является ограничением: при нулевом уклоне она пренебрежимо мала. Это стоит зафиксировать явно, чтобы не числить её в рисках.</w:t>
      </w:r>
    </w:p>
    <w:p>
      <w:pPr>
        <w:pStyle w:val="Heading2"/>
      </w:pPr>
      <w:r>
        <w:t>24.3. Засоление — настоящее ограничение</w:t>
      </w:r>
    </w:p>
    <w:p>
      <w:r>
        <w:t>В замкнутом водном цикле любая соль, вошедшая в систему, из неё не уходит. Площадь под грунтом 2852 км², почвенный раствор при объёмной влажности 25 % — 1070 млн м³.</w:t>
      </w:r>
    </w:p>
    <w:p>
      <w:pPr>
        <w:pStyle w:val="Caption"/>
        <w:jc w:val="center"/>
      </w:pPr>
      <w:r>
        <w:t>Таблица 24.1 — Начальный запас солей в грунте</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2948"/>
            <w:shd w:val="clear" w:fill="DEEAF6"/>
          </w:tcPr>
          <w:p>
            <w:pPr>
              <w:jc w:val="center"/>
            </w:pPr>
            <w:r>
              <w:rPr>
                <w:b/>
                <w:sz w:val="16"/>
              </w:rPr>
              <w:t>Растворимые соли в грунте</w:t>
            </w:r>
          </w:p>
        </w:tc>
        <w:tc>
          <w:tcPr>
            <w:tcW w:type="dxa" w:w="2154"/>
            <w:shd w:val="clear" w:fill="DEEAF6"/>
          </w:tcPr>
          <w:p>
            <w:pPr>
              <w:jc w:val="center"/>
            </w:pPr>
            <w:r>
              <w:rPr>
                <w:b/>
                <w:sz w:val="16"/>
              </w:rPr>
              <w:t>Запас</w:t>
            </w:r>
          </w:p>
        </w:tc>
        <w:tc>
          <w:tcPr>
            <w:tcW w:type="dxa" w:w="3402"/>
            <w:shd w:val="clear" w:fill="DEEAF6"/>
          </w:tcPr>
          <w:p>
            <w:pPr>
              <w:jc w:val="center"/>
            </w:pPr>
            <w:r>
              <w:rPr>
                <w:b/>
                <w:sz w:val="16"/>
              </w:rPr>
              <w:t>Равновесная солёность раствора</w:t>
            </w:r>
          </w:p>
        </w:tc>
      </w:tr>
      <w:tr>
        <w:tc>
          <w:tcPr>
            <w:tcW w:type="dxa" w:w="2948"/>
          </w:tcPr>
          <w:p>
            <w:r>
              <w:rPr>
                <w:sz w:val="16"/>
              </w:rPr>
              <w:t>0,01 %</w:t>
            </w:r>
          </w:p>
        </w:tc>
        <w:tc>
          <w:tcPr>
            <w:tcW w:type="dxa" w:w="2154"/>
          </w:tcPr>
          <w:p>
            <w:pPr>
              <w:jc w:val="center"/>
            </w:pPr>
            <w:r>
              <w:rPr>
                <w:sz w:val="16"/>
              </w:rPr>
              <w:t>0,813 Мт</w:t>
            </w:r>
          </w:p>
        </w:tc>
        <w:tc>
          <w:tcPr>
            <w:tcW w:type="dxa" w:w="3402"/>
          </w:tcPr>
          <w:p>
            <w:pPr>
              <w:jc w:val="center"/>
            </w:pPr>
            <w:r>
              <w:rPr>
                <w:sz w:val="16"/>
              </w:rPr>
              <w:t>0,76 г/л</w:t>
            </w:r>
          </w:p>
        </w:tc>
      </w:tr>
      <w:tr>
        <w:tc>
          <w:tcPr>
            <w:tcW w:type="dxa" w:w="2948"/>
          </w:tcPr>
          <w:p>
            <w:r>
              <w:rPr>
                <w:sz w:val="16"/>
              </w:rPr>
              <w:t>0,05 %</w:t>
            </w:r>
          </w:p>
        </w:tc>
        <w:tc>
          <w:tcPr>
            <w:tcW w:type="dxa" w:w="2154"/>
          </w:tcPr>
          <w:p>
            <w:pPr>
              <w:jc w:val="center"/>
            </w:pPr>
            <w:r>
              <w:rPr>
                <w:sz w:val="16"/>
              </w:rPr>
              <w:t>4,065 Мт</w:t>
            </w:r>
          </w:p>
        </w:tc>
        <w:tc>
          <w:tcPr>
            <w:tcW w:type="dxa" w:w="3402"/>
          </w:tcPr>
          <w:p>
            <w:pPr>
              <w:jc w:val="center"/>
            </w:pPr>
            <w:r>
              <w:rPr>
                <w:sz w:val="16"/>
              </w:rPr>
              <w:t>3,80 г/л</w:t>
            </w:r>
          </w:p>
        </w:tc>
      </w:tr>
      <w:tr>
        <w:tc>
          <w:tcPr>
            <w:tcW w:type="dxa" w:w="2948"/>
          </w:tcPr>
          <w:p>
            <w:r>
              <w:rPr>
                <w:sz w:val="16"/>
              </w:rPr>
              <w:t>0,10 %</w:t>
            </w:r>
          </w:p>
        </w:tc>
        <w:tc>
          <w:tcPr>
            <w:tcW w:type="dxa" w:w="2154"/>
          </w:tcPr>
          <w:p>
            <w:pPr>
              <w:jc w:val="center"/>
            </w:pPr>
            <w:r>
              <w:rPr>
                <w:sz w:val="16"/>
              </w:rPr>
              <w:t>8,130 Мт</w:t>
            </w:r>
          </w:p>
        </w:tc>
        <w:tc>
          <w:tcPr>
            <w:tcW w:type="dxa" w:w="3402"/>
          </w:tcPr>
          <w:p>
            <w:pPr>
              <w:jc w:val="center"/>
            </w:pPr>
            <w:r>
              <w:rPr>
                <w:sz w:val="16"/>
              </w:rPr>
              <w:t>7,60 г/л</w:t>
            </w:r>
          </w:p>
        </w:tc>
      </w:tr>
    </w:tbl>
    <w:p>
      <w:r>
        <w:t>Порог солёности для чувствительных культур — около 1 г/л. При грунте с 0,05 % растворимых солей нужно вынести 3,0 Мт, что при концентрации рассола 30 г/л даёт 99,9 млн м³ — это 3,2 м³/с в течение года или 0,32 м³/с в течение десяти лет. Объём значим, но выполним один раз при вводе в эксплуатацию.</w:t>
      </w:r>
    </w:p>
    <w:p>
      <w:r>
        <w:t>Непрерывный вход солей мал: удобрения (10 000 т/год солей в пересчёте на N, P, K) требуют вывоза 333 м³/год, makeup-вода при солёности 0,2 г/л — 292 т/год. Следовательно, задача не в непрерывной борьбе, а в одном комиссионном мероприятии: промывке грунта при заселении.</w:t>
      </w:r>
    </w:p>
    <w:p>
      <w:r>
        <w:t>Проектное следствие: спецификация на грунт должна ограничивать растворимые соли сверху (ориентировочно 0,01 %), либо в программу ввода в эксплуатацию включается промывка с выводом рассола.</w:t>
      </w:r>
    </w:p>
    <w:p>
      <w:pPr>
        <w:pStyle w:val="Heading2"/>
      </w:pPr>
      <w:r>
        <w:t>24.4. Энергия влагооборота</w:t>
      </w:r>
    </w:p>
    <w:p>
      <w:pPr>
        <w:pStyle w:val="Caption"/>
        <w:jc w:val="center"/>
      </w:pPr>
      <w:r>
        <w:t>Таблица 24.2 — Энергия замкнутого влагооборота</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c>
          <w:tcPr>
            <w:tcW w:type="dxa" w:w="1814"/>
            <w:shd w:val="clear" w:fill="DEEAF6"/>
          </w:tcPr>
          <w:p>
            <w:pPr>
              <w:jc w:val="center"/>
            </w:pPr>
            <w:r>
              <w:rPr>
                <w:b/>
                <w:sz w:val="16"/>
              </w:rPr>
              <w:t>Испарение за год</w:t>
            </w:r>
          </w:p>
        </w:tc>
        <w:tc>
          <w:tcPr>
            <w:tcW w:type="dxa" w:w="1587"/>
            <w:shd w:val="clear" w:fill="DEEAF6"/>
          </w:tcPr>
          <w:p>
            <w:pPr>
              <w:jc w:val="center"/>
            </w:pPr>
            <w:r>
              <w:rPr>
                <w:b/>
                <w:sz w:val="16"/>
              </w:rPr>
              <w:t>Поток</w:t>
            </w:r>
          </w:p>
        </w:tc>
        <w:tc>
          <w:tcPr>
            <w:tcW w:type="dxa" w:w="1928"/>
            <w:shd w:val="clear" w:fill="DEEAF6"/>
          </w:tcPr>
          <w:p>
            <w:pPr>
              <w:jc w:val="center"/>
            </w:pPr>
            <w:r>
              <w:rPr>
                <w:b/>
                <w:sz w:val="16"/>
              </w:rPr>
              <w:t>На 5 м подъёма</w:t>
            </w:r>
          </w:p>
        </w:tc>
        <w:tc>
          <w:tcPr>
            <w:tcW w:type="dxa" w:w="1587"/>
            <w:shd w:val="clear" w:fill="DEEAF6"/>
          </w:tcPr>
          <w:p>
            <w:pPr>
              <w:jc w:val="center"/>
            </w:pPr>
            <w:r>
              <w:rPr>
                <w:b/>
                <w:sz w:val="16"/>
              </w:rPr>
              <w:t>На 20 м</w:t>
            </w:r>
          </w:p>
        </w:tc>
        <w:tc>
          <w:tcPr>
            <w:tcW w:type="dxa" w:w="1701"/>
            <w:shd w:val="clear" w:fill="DEEAF6"/>
          </w:tcPr>
          <w:p>
            <w:pPr>
              <w:jc w:val="center"/>
            </w:pPr>
            <w:r>
              <w:rPr>
                <w:b/>
                <w:sz w:val="16"/>
              </w:rPr>
              <w:t>На 100 м</w:t>
            </w:r>
          </w:p>
        </w:tc>
      </w:tr>
      <w:tr>
        <w:tc>
          <w:tcPr>
            <w:tcW w:type="dxa" w:w="1814"/>
          </w:tcPr>
          <w:p>
            <w:r>
              <w:rPr>
                <w:sz w:val="16"/>
              </w:rPr>
              <w:t>0,4 м</w:t>
            </w:r>
          </w:p>
        </w:tc>
        <w:tc>
          <w:tcPr>
            <w:tcW w:type="dxa" w:w="1587"/>
          </w:tcPr>
          <w:p>
            <w:pPr>
              <w:jc w:val="center"/>
            </w:pPr>
            <w:r>
              <w:rPr>
                <w:sz w:val="16"/>
              </w:rPr>
              <w:t>36,2 м³/с</w:t>
            </w:r>
          </w:p>
        </w:tc>
        <w:tc>
          <w:tcPr>
            <w:tcW w:type="dxa" w:w="1928"/>
          </w:tcPr>
          <w:p>
            <w:pPr>
              <w:jc w:val="center"/>
            </w:pPr>
            <w:r>
              <w:rPr>
                <w:sz w:val="16"/>
              </w:rPr>
              <w:t>1,8 МВт</w:t>
            </w:r>
          </w:p>
        </w:tc>
        <w:tc>
          <w:tcPr>
            <w:tcW w:type="dxa" w:w="1587"/>
          </w:tcPr>
          <w:p>
            <w:pPr>
              <w:jc w:val="center"/>
            </w:pPr>
            <w:r>
              <w:rPr>
                <w:sz w:val="16"/>
              </w:rPr>
              <w:t>7,1 МВт</w:t>
            </w:r>
          </w:p>
        </w:tc>
        <w:tc>
          <w:tcPr>
            <w:tcW w:type="dxa" w:w="1701"/>
          </w:tcPr>
          <w:p>
            <w:pPr>
              <w:jc w:val="center"/>
            </w:pPr>
            <w:r>
              <w:rPr>
                <w:sz w:val="16"/>
              </w:rPr>
              <w:t>35,5 МВт</w:t>
            </w:r>
          </w:p>
        </w:tc>
      </w:tr>
      <w:tr>
        <w:tc>
          <w:tcPr>
            <w:tcW w:type="dxa" w:w="1814"/>
          </w:tcPr>
          <w:p>
            <w:r>
              <w:rPr>
                <w:sz w:val="16"/>
              </w:rPr>
              <w:t>0,8 м</w:t>
            </w:r>
          </w:p>
        </w:tc>
        <w:tc>
          <w:tcPr>
            <w:tcW w:type="dxa" w:w="1587"/>
          </w:tcPr>
          <w:p>
            <w:pPr>
              <w:jc w:val="center"/>
            </w:pPr>
            <w:r>
              <w:rPr>
                <w:sz w:val="16"/>
              </w:rPr>
              <w:t>72,4 м³/с</w:t>
            </w:r>
          </w:p>
        </w:tc>
        <w:tc>
          <w:tcPr>
            <w:tcW w:type="dxa" w:w="1928"/>
          </w:tcPr>
          <w:p>
            <w:pPr>
              <w:jc w:val="center"/>
            </w:pPr>
            <w:r>
              <w:rPr>
                <w:sz w:val="16"/>
              </w:rPr>
              <w:t>3,6 МВт</w:t>
            </w:r>
          </w:p>
        </w:tc>
        <w:tc>
          <w:tcPr>
            <w:tcW w:type="dxa" w:w="1587"/>
          </w:tcPr>
          <w:p>
            <w:pPr>
              <w:jc w:val="center"/>
            </w:pPr>
            <w:r>
              <w:rPr>
                <w:sz w:val="16"/>
              </w:rPr>
              <w:t>14,2 МВт</w:t>
            </w:r>
          </w:p>
        </w:tc>
        <w:tc>
          <w:tcPr>
            <w:tcW w:type="dxa" w:w="1701"/>
          </w:tcPr>
          <w:p>
            <w:pPr>
              <w:jc w:val="center"/>
            </w:pPr>
            <w:r>
              <w:rPr>
                <w:sz w:val="16"/>
              </w:rPr>
              <w:t>71,0 МВт</w:t>
            </w:r>
          </w:p>
        </w:tc>
      </w:tr>
      <w:tr>
        <w:tc>
          <w:tcPr>
            <w:tcW w:type="dxa" w:w="1814"/>
          </w:tcPr>
          <w:p>
            <w:r>
              <w:rPr>
                <w:sz w:val="16"/>
              </w:rPr>
              <w:t>1,2 м</w:t>
            </w:r>
          </w:p>
        </w:tc>
        <w:tc>
          <w:tcPr>
            <w:tcW w:type="dxa" w:w="1587"/>
          </w:tcPr>
          <w:p>
            <w:pPr>
              <w:jc w:val="center"/>
            </w:pPr>
            <w:r>
              <w:rPr>
                <w:sz w:val="16"/>
              </w:rPr>
              <w:t>108,5 м³/с</w:t>
            </w:r>
          </w:p>
        </w:tc>
        <w:tc>
          <w:tcPr>
            <w:tcW w:type="dxa" w:w="1928"/>
          </w:tcPr>
          <w:p>
            <w:pPr>
              <w:jc w:val="center"/>
            </w:pPr>
            <w:r>
              <w:rPr>
                <w:sz w:val="16"/>
              </w:rPr>
              <w:t>5,3 МВт</w:t>
            </w:r>
          </w:p>
        </w:tc>
        <w:tc>
          <w:tcPr>
            <w:tcW w:type="dxa" w:w="1587"/>
          </w:tcPr>
          <w:p>
            <w:pPr>
              <w:jc w:val="center"/>
            </w:pPr>
            <w:r>
              <w:rPr>
                <w:sz w:val="16"/>
              </w:rPr>
              <w:t>21,3 МВт</w:t>
            </w:r>
          </w:p>
        </w:tc>
        <w:tc>
          <w:tcPr>
            <w:tcW w:type="dxa" w:w="1701"/>
          </w:tcPr>
          <w:p>
            <w:pPr>
              <w:jc w:val="center"/>
            </w:pPr>
            <w:r>
              <w:rPr>
                <w:sz w:val="16"/>
              </w:rPr>
              <w:t>106,4 МВт</w:t>
            </w:r>
          </w:p>
        </w:tc>
      </w:tr>
    </w:tbl>
    <w:p>
      <w:r>
        <w:t>При влагообороте 0,8 м/год и подъёме на 20 м затрата составляет 14 МВт — 0,07 % от 20 ГВт систем жизнеобеспечения. Величина управляемая, но её следует внести в энергобаланс (п. 4.13.6) явной строкой, а не растворять в общем итоге.</w:t>
      </w:r>
    </w:p>
    <w:p>
      <w:pPr>
        <w:spacing w:before="200"/>
        <w:jc w:val="center"/>
      </w:pPr>
      <w:r>
        <w:rPr>
          <w:b/>
          <w:color w:val="2E5496"/>
          <w:sz w:val="17"/>
        </w:rPr>
        <w:t>ENGLISH EDITION</w:t>
      </w:r>
    </w:p>
    <w:p>
      <w:pPr>
        <w:pStyle w:val="Heading1"/>
      </w:pPr>
      <w:r>
        <w:t>24. SOIL AS AN ENGINEERED PROFILE</w:t>
      </w:r>
    </w:p>
    <w:p>
      <w:r>
        <w:t>The publication contains soil biota (para. 15.1), the structure of crop areas (para. 5.2) and productivity. However soil as a load-bearing engineering element — profile, drainage, salt balance over centuries — is not considered.</w:t>
      </w:r>
    </w:p>
    <w:p>
      <w:pPr>
        <w:pStyle w:val="Heading2"/>
      </w:pPr>
      <w:r>
        <w:t>24.1. There is no relief</w:t>
      </w:r>
    </w:p>
    <w:p>
      <w:r>
        <w:t>The internal surface of the cylinder is everywhere perpendicular to the local vertical, hence the slope is zero. Runoff under gravity is impossible in principle: the station has neither rivers in the natural sense nor slopes. Water catchment, drainage and irrigation are exclusively engineering systems, and they must be calculated not as an improvement of natural runoff but as its complete replacement.</w:t>
      </w:r>
    </w:p>
    <w:p>
      <w:pPr>
        <w:pStyle w:val="Heading2"/>
      </w:pPr>
      <w:r>
        <w:t>24.2. Erosion</w:t>
      </w:r>
    </w:p>
    <w:p>
      <w:r>
        <w:t>The stock of solid matter in a 1.5 m profile is 2850 kg/m². At a wash-out of 0.1 kg/(m²·year) — the upper estimate for a grassed surface — the profile holds for 28 500 years, at 1 kg/(m²·year) for 2850 years. Erosion on the station is not a constraint: at zero slope it is negligibly small. This should be fixed explicitly so that it is not counted among the risks.</w:t>
      </w:r>
    </w:p>
    <w:p>
      <w:pPr>
        <w:pStyle w:val="Heading2"/>
      </w:pPr>
      <w:r>
        <w:t>24.3. Salinisation is the real constraint</w:t>
      </w:r>
    </w:p>
    <w:p>
      <w:r>
        <w:t>In a closed water cycle any salt that has entered the system does not leave it. The area under soil is 2852 km², the soil solution at a volumetric moisture of 25 % is 1070 million m³.</w:t>
      </w:r>
    </w:p>
    <w:p>
      <w:pPr>
        <w:pStyle w:val="Caption"/>
        <w:jc w:val="center"/>
      </w:pPr>
      <w:r>
        <w:t>Table 24.1 — Initial stock of salts in the soil</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2948"/>
            <w:shd w:val="clear" w:fill="DEEAF6"/>
          </w:tcPr>
          <w:p>
            <w:pPr>
              <w:jc w:val="center"/>
            </w:pPr>
            <w:r>
              <w:rPr>
                <w:b/>
                <w:sz w:val="16"/>
              </w:rPr>
              <w:t>Soluble salts in soil</w:t>
            </w:r>
          </w:p>
        </w:tc>
        <w:tc>
          <w:tcPr>
            <w:tcW w:type="dxa" w:w="2154"/>
            <w:shd w:val="clear" w:fill="DEEAF6"/>
          </w:tcPr>
          <w:p>
            <w:pPr>
              <w:jc w:val="center"/>
            </w:pPr>
            <w:r>
              <w:rPr>
                <w:b/>
                <w:sz w:val="16"/>
              </w:rPr>
              <w:t>Stock</w:t>
            </w:r>
          </w:p>
        </w:tc>
        <w:tc>
          <w:tcPr>
            <w:tcW w:type="dxa" w:w="3402"/>
            <w:shd w:val="clear" w:fill="DEEAF6"/>
          </w:tcPr>
          <w:p>
            <w:pPr>
              <w:jc w:val="center"/>
            </w:pPr>
            <w:r>
              <w:rPr>
                <w:b/>
                <w:sz w:val="16"/>
              </w:rPr>
              <w:t>Equilibrium salinity of the solution</w:t>
            </w:r>
          </w:p>
        </w:tc>
      </w:tr>
      <w:tr>
        <w:tc>
          <w:tcPr>
            <w:tcW w:type="dxa" w:w="2948"/>
          </w:tcPr>
          <w:p>
            <w:r>
              <w:rPr>
                <w:sz w:val="16"/>
              </w:rPr>
              <w:t>0.01 %</w:t>
            </w:r>
          </w:p>
        </w:tc>
        <w:tc>
          <w:tcPr>
            <w:tcW w:type="dxa" w:w="2154"/>
          </w:tcPr>
          <w:p>
            <w:pPr>
              <w:jc w:val="center"/>
            </w:pPr>
            <w:r>
              <w:rPr>
                <w:sz w:val="16"/>
              </w:rPr>
              <w:t>0.813 Mt</w:t>
            </w:r>
          </w:p>
        </w:tc>
        <w:tc>
          <w:tcPr>
            <w:tcW w:type="dxa" w:w="3402"/>
          </w:tcPr>
          <w:p>
            <w:pPr>
              <w:jc w:val="center"/>
            </w:pPr>
            <w:r>
              <w:rPr>
                <w:sz w:val="16"/>
              </w:rPr>
              <w:t>0.76 g/L</w:t>
            </w:r>
          </w:p>
        </w:tc>
      </w:tr>
      <w:tr>
        <w:tc>
          <w:tcPr>
            <w:tcW w:type="dxa" w:w="2948"/>
          </w:tcPr>
          <w:p>
            <w:r>
              <w:rPr>
                <w:sz w:val="16"/>
              </w:rPr>
              <w:t>0.05 %</w:t>
            </w:r>
          </w:p>
        </w:tc>
        <w:tc>
          <w:tcPr>
            <w:tcW w:type="dxa" w:w="2154"/>
          </w:tcPr>
          <w:p>
            <w:pPr>
              <w:jc w:val="center"/>
            </w:pPr>
            <w:r>
              <w:rPr>
                <w:sz w:val="16"/>
              </w:rPr>
              <w:t>4.065 Mt</w:t>
            </w:r>
          </w:p>
        </w:tc>
        <w:tc>
          <w:tcPr>
            <w:tcW w:type="dxa" w:w="3402"/>
          </w:tcPr>
          <w:p>
            <w:pPr>
              <w:jc w:val="center"/>
            </w:pPr>
            <w:r>
              <w:rPr>
                <w:sz w:val="16"/>
              </w:rPr>
              <w:t>3.80 g/L</w:t>
            </w:r>
          </w:p>
        </w:tc>
      </w:tr>
      <w:tr>
        <w:tc>
          <w:tcPr>
            <w:tcW w:type="dxa" w:w="2948"/>
          </w:tcPr>
          <w:p>
            <w:r>
              <w:rPr>
                <w:sz w:val="16"/>
              </w:rPr>
              <w:t>0.10 %</w:t>
            </w:r>
          </w:p>
        </w:tc>
        <w:tc>
          <w:tcPr>
            <w:tcW w:type="dxa" w:w="2154"/>
          </w:tcPr>
          <w:p>
            <w:pPr>
              <w:jc w:val="center"/>
            </w:pPr>
            <w:r>
              <w:rPr>
                <w:sz w:val="16"/>
              </w:rPr>
              <w:t>8.130 Mt</w:t>
            </w:r>
          </w:p>
        </w:tc>
        <w:tc>
          <w:tcPr>
            <w:tcW w:type="dxa" w:w="3402"/>
          </w:tcPr>
          <w:p>
            <w:pPr>
              <w:jc w:val="center"/>
            </w:pPr>
            <w:r>
              <w:rPr>
                <w:sz w:val="16"/>
              </w:rPr>
              <w:t>7.60 g/L</w:t>
            </w:r>
          </w:p>
        </w:tc>
      </w:tr>
    </w:tbl>
    <w:p>
      <w:r>
        <w:t>The salinity threshold for sensitive crops is about 1 g/L. With soil containing 0.05 % soluble salts, 3.0 Mt must be removed, which at a brine concentration of 30 g/L gives 99.9 million m³ — that is 3.2 m³/s over a year or 0.32 m³/s over ten years. The volume is significant but achievable once, during commissioning.</w:t>
      </w:r>
    </w:p>
    <w:p>
      <w:r>
        <w:t>The continuous input of salts is small: fertilisers (10 000 t/year of salts in terms of N, P, K) require the removal of 333 m³/year, make-up water at a salinity of 0.2 g/L — 292 t/year. Consequently the task is not continuous struggle but a single commissioning operation: washing the soil during settlement.</w:t>
      </w:r>
    </w:p>
    <w:p>
      <w:r>
        <w:t>Design consequence: the specification for soil must limit soluble salts from above (approximately 0.01 %), or the commissioning programme includes washing with brine removal.</w:t>
      </w:r>
    </w:p>
    <w:p>
      <w:pPr>
        <w:pStyle w:val="Heading2"/>
      </w:pPr>
      <w:r>
        <w:t>24.4. Energy of the water cycle</w:t>
      </w:r>
    </w:p>
    <w:p>
      <w:pPr>
        <w:pStyle w:val="Caption"/>
        <w:jc w:val="center"/>
      </w:pPr>
      <w:r>
        <w:t>Table 24.2 — Energy of the closed water cycle</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c>
          <w:tcPr>
            <w:tcW w:type="dxa" w:w="1814"/>
            <w:shd w:val="clear" w:fill="DEEAF6"/>
          </w:tcPr>
          <w:p>
            <w:pPr>
              <w:jc w:val="center"/>
            </w:pPr>
            <w:r>
              <w:rPr>
                <w:b/>
                <w:sz w:val="16"/>
              </w:rPr>
              <w:t>Evaporation per year</w:t>
            </w:r>
          </w:p>
        </w:tc>
        <w:tc>
          <w:tcPr>
            <w:tcW w:type="dxa" w:w="1587"/>
            <w:shd w:val="clear" w:fill="DEEAF6"/>
          </w:tcPr>
          <w:p>
            <w:pPr>
              <w:jc w:val="center"/>
            </w:pPr>
            <w:r>
              <w:rPr>
                <w:b/>
                <w:sz w:val="16"/>
              </w:rPr>
              <w:t>Flow</w:t>
            </w:r>
          </w:p>
        </w:tc>
        <w:tc>
          <w:tcPr>
            <w:tcW w:type="dxa" w:w="1928"/>
            <w:shd w:val="clear" w:fill="DEEAF6"/>
          </w:tcPr>
          <w:p>
            <w:pPr>
              <w:jc w:val="center"/>
            </w:pPr>
            <w:r>
              <w:rPr>
                <w:b/>
                <w:sz w:val="16"/>
              </w:rPr>
              <w:t>At 5 m lift</w:t>
            </w:r>
          </w:p>
        </w:tc>
        <w:tc>
          <w:tcPr>
            <w:tcW w:type="dxa" w:w="1587"/>
            <w:shd w:val="clear" w:fill="DEEAF6"/>
          </w:tcPr>
          <w:p>
            <w:pPr>
              <w:jc w:val="center"/>
            </w:pPr>
            <w:r>
              <w:rPr>
                <w:b/>
                <w:sz w:val="16"/>
              </w:rPr>
              <w:t>At 20 m</w:t>
            </w:r>
          </w:p>
        </w:tc>
        <w:tc>
          <w:tcPr>
            <w:tcW w:type="dxa" w:w="1701"/>
            <w:shd w:val="clear" w:fill="DEEAF6"/>
          </w:tcPr>
          <w:p>
            <w:pPr>
              <w:jc w:val="center"/>
            </w:pPr>
            <w:r>
              <w:rPr>
                <w:b/>
                <w:sz w:val="16"/>
              </w:rPr>
              <w:t>At 100 m</w:t>
            </w:r>
          </w:p>
        </w:tc>
      </w:tr>
      <w:tr>
        <w:tc>
          <w:tcPr>
            <w:tcW w:type="dxa" w:w="1814"/>
          </w:tcPr>
          <w:p>
            <w:r>
              <w:rPr>
                <w:sz w:val="16"/>
              </w:rPr>
              <w:t>0.4 m</w:t>
            </w:r>
          </w:p>
        </w:tc>
        <w:tc>
          <w:tcPr>
            <w:tcW w:type="dxa" w:w="1587"/>
          </w:tcPr>
          <w:p>
            <w:pPr>
              <w:jc w:val="center"/>
            </w:pPr>
            <w:r>
              <w:rPr>
                <w:sz w:val="16"/>
              </w:rPr>
              <w:t>36.2 m³/s</w:t>
            </w:r>
          </w:p>
        </w:tc>
        <w:tc>
          <w:tcPr>
            <w:tcW w:type="dxa" w:w="1928"/>
          </w:tcPr>
          <w:p>
            <w:pPr>
              <w:jc w:val="center"/>
            </w:pPr>
            <w:r>
              <w:rPr>
                <w:sz w:val="16"/>
              </w:rPr>
              <w:t>1.8 MW</w:t>
            </w:r>
          </w:p>
        </w:tc>
        <w:tc>
          <w:tcPr>
            <w:tcW w:type="dxa" w:w="1587"/>
          </w:tcPr>
          <w:p>
            <w:pPr>
              <w:jc w:val="center"/>
            </w:pPr>
            <w:r>
              <w:rPr>
                <w:sz w:val="16"/>
              </w:rPr>
              <w:t>7.1 MW</w:t>
            </w:r>
          </w:p>
        </w:tc>
        <w:tc>
          <w:tcPr>
            <w:tcW w:type="dxa" w:w="1701"/>
          </w:tcPr>
          <w:p>
            <w:pPr>
              <w:jc w:val="center"/>
            </w:pPr>
            <w:r>
              <w:rPr>
                <w:sz w:val="16"/>
              </w:rPr>
              <w:t>35.5 MW</w:t>
            </w:r>
          </w:p>
        </w:tc>
      </w:tr>
      <w:tr>
        <w:tc>
          <w:tcPr>
            <w:tcW w:type="dxa" w:w="1814"/>
          </w:tcPr>
          <w:p>
            <w:r>
              <w:rPr>
                <w:sz w:val="16"/>
              </w:rPr>
              <w:t>0.8 m</w:t>
            </w:r>
          </w:p>
        </w:tc>
        <w:tc>
          <w:tcPr>
            <w:tcW w:type="dxa" w:w="1587"/>
          </w:tcPr>
          <w:p>
            <w:pPr>
              <w:jc w:val="center"/>
            </w:pPr>
            <w:r>
              <w:rPr>
                <w:sz w:val="16"/>
              </w:rPr>
              <w:t>72.4 m³/s</w:t>
            </w:r>
          </w:p>
        </w:tc>
        <w:tc>
          <w:tcPr>
            <w:tcW w:type="dxa" w:w="1928"/>
          </w:tcPr>
          <w:p>
            <w:pPr>
              <w:jc w:val="center"/>
            </w:pPr>
            <w:r>
              <w:rPr>
                <w:sz w:val="16"/>
              </w:rPr>
              <w:t>3.6 MW</w:t>
            </w:r>
          </w:p>
        </w:tc>
        <w:tc>
          <w:tcPr>
            <w:tcW w:type="dxa" w:w="1587"/>
          </w:tcPr>
          <w:p>
            <w:pPr>
              <w:jc w:val="center"/>
            </w:pPr>
            <w:r>
              <w:rPr>
                <w:sz w:val="16"/>
              </w:rPr>
              <w:t>14.2 MW</w:t>
            </w:r>
          </w:p>
        </w:tc>
        <w:tc>
          <w:tcPr>
            <w:tcW w:type="dxa" w:w="1701"/>
          </w:tcPr>
          <w:p>
            <w:pPr>
              <w:jc w:val="center"/>
            </w:pPr>
            <w:r>
              <w:rPr>
                <w:sz w:val="16"/>
              </w:rPr>
              <w:t>71.0 MW</w:t>
            </w:r>
          </w:p>
        </w:tc>
      </w:tr>
      <w:tr>
        <w:tc>
          <w:tcPr>
            <w:tcW w:type="dxa" w:w="1814"/>
          </w:tcPr>
          <w:p>
            <w:r>
              <w:rPr>
                <w:sz w:val="16"/>
              </w:rPr>
              <w:t>1.2 m</w:t>
            </w:r>
          </w:p>
        </w:tc>
        <w:tc>
          <w:tcPr>
            <w:tcW w:type="dxa" w:w="1587"/>
          </w:tcPr>
          <w:p>
            <w:pPr>
              <w:jc w:val="center"/>
            </w:pPr>
            <w:r>
              <w:rPr>
                <w:sz w:val="16"/>
              </w:rPr>
              <w:t>108.5 m³/s</w:t>
            </w:r>
          </w:p>
        </w:tc>
        <w:tc>
          <w:tcPr>
            <w:tcW w:type="dxa" w:w="1928"/>
          </w:tcPr>
          <w:p>
            <w:pPr>
              <w:jc w:val="center"/>
            </w:pPr>
            <w:r>
              <w:rPr>
                <w:sz w:val="16"/>
              </w:rPr>
              <w:t>5.3 MW</w:t>
            </w:r>
          </w:p>
        </w:tc>
        <w:tc>
          <w:tcPr>
            <w:tcW w:type="dxa" w:w="1587"/>
          </w:tcPr>
          <w:p>
            <w:pPr>
              <w:jc w:val="center"/>
            </w:pPr>
            <w:r>
              <w:rPr>
                <w:sz w:val="16"/>
              </w:rPr>
              <w:t>21.3 MW</w:t>
            </w:r>
          </w:p>
        </w:tc>
        <w:tc>
          <w:tcPr>
            <w:tcW w:type="dxa" w:w="1701"/>
          </w:tcPr>
          <w:p>
            <w:pPr>
              <w:jc w:val="center"/>
            </w:pPr>
            <w:r>
              <w:rPr>
                <w:sz w:val="16"/>
              </w:rPr>
              <w:t>106.4 MW</w:t>
            </w:r>
          </w:p>
        </w:tc>
      </w:tr>
    </w:tbl>
    <w:p>
      <w:r>
        <w:t>At a water cycle of 0.8 m/year and a lift of 20 m the cost is 14 MW — 0.07 % of the 20 GW of life-support systems. The quantity is manageable, but it should be entered into the energy balance (para. 4.13.6) as an explicit line rather than dissolved in the total.</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