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25 / Section 25</w:t>
      </w:r>
    </w:p>
    <w:p>
      <w:pPr>
        <w:jc w:val="center"/>
      </w:pPr>
      <w:r>
        <w:rPr>
          <w:b/>
          <w:color w:val="1F3864"/>
          <w:sz w:val="26"/>
        </w:rPr>
        <w:t>25. МАСШТАБИРОВАНИЕ АРХИТЕКТУРЫ</w:t>
      </w:r>
    </w:p>
    <w:p>
      <w:pPr>
        <w:jc w:val="center"/>
      </w:pPr>
      <w:r>
        <w:rPr>
          <w:b/>
          <w:color w:val="1F3864"/>
          <w:sz w:val="26"/>
        </w:rPr>
        <w:t>25. SCALING OF THE ARCHITECTURE</w:t>
      </w:r>
    </w:p>
    <w:p>
      <w:pPr>
        <w:jc w:val="center"/>
      </w:pPr>
      <w:r>
        <w:rPr>
          <w:i/>
          <w:sz w:val="17"/>
        </w:rPr>
        <w:t>Редакция 8 · 31 октября 2026 г.  ·  документ 27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pPr>
      <w:r>
        <w:t>25. МАСШТАБИРОВАНИЕ АРХИТЕКТУРЫ</w:t>
      </w:r>
    </w:p>
    <w:p>
      <w:r>
        <w:t>В публикации нет сравнения с другими обитаемыми архитектурами. Между тем выбор радиуса — главный выбор проекта, и он определяет всё остальное.</w:t>
      </w:r>
    </w:p>
    <w:p>
      <w:pPr>
        <w:pStyle w:val="Caption"/>
        <w:jc w:val="center"/>
      </w:pPr>
      <w:r>
        <w:t>Таблица 25.1 — Зависимость параметров от радиуса</w:t>
      </w:r>
    </w:p>
    <w:tbl>
      <w:tblPr>
        <w:tblStyle w:val="TableGrid"/>
        <w:tblW w:type="auto" w:w="0"/>
        <w:jc w:val="center"/>
        <w:tblLayout w:type="fixed"/>
        <w:tblLook w:firstColumn="1" w:firstRow="1" w:lastColumn="0" w:lastRow="0" w:noHBand="0" w:noVBand="1" w:val="04A0"/>
      </w:tblPr>
      <w:tblGrid>
        <w:gridCol w:w="1578"/>
        <w:gridCol w:w="1578"/>
        <w:gridCol w:w="1578"/>
        <w:gridCol w:w="1578"/>
        <w:gridCol w:w="1578"/>
        <w:gridCol w:w="1578"/>
      </w:tblGrid>
      <w:tr>
        <w:tc>
          <w:tcPr>
            <w:tcW w:type="dxa" w:w="1814"/>
            <w:shd w:val="clear" w:fill="DEEAF6"/>
          </w:tcPr>
          <w:p>
            <w:pPr>
              <w:jc w:val="center"/>
            </w:pPr>
            <w:r>
              <w:rPr>
                <w:b/>
                <w:sz w:val="16"/>
              </w:rPr>
              <w:t>R, м</w:t>
            </w:r>
          </w:p>
        </w:tc>
        <w:tc>
          <w:tcPr>
            <w:tcW w:type="dxa" w:w="1020"/>
            <w:shd w:val="clear" w:fill="DEEAF6"/>
          </w:tcPr>
          <w:p>
            <w:pPr>
              <w:jc w:val="center"/>
            </w:pPr>
            <w:r>
              <w:rPr>
                <w:b/>
                <w:sz w:val="16"/>
              </w:rPr>
              <w:t>об/мин</w:t>
            </w:r>
          </w:p>
        </w:tc>
        <w:tc>
          <w:tcPr>
            <w:tcW w:type="dxa" w:w="1701"/>
            <w:shd w:val="clear" w:fill="DEEAF6"/>
          </w:tcPr>
          <w:p>
            <w:pPr>
              <w:jc w:val="center"/>
            </w:pPr>
            <w:r>
              <w:rPr>
                <w:b/>
                <w:sz w:val="16"/>
              </w:rPr>
              <w:t>Градиент g на 1,7 м</w:t>
            </w:r>
          </w:p>
        </w:tc>
        <w:tc>
          <w:tcPr>
            <w:tcW w:type="dxa" w:w="1474"/>
            <w:shd w:val="clear" w:fill="DEEAF6"/>
          </w:tcPr>
          <w:p>
            <w:pPr>
              <w:jc w:val="center"/>
            </w:pPr>
            <w:r>
              <w:rPr>
                <w:b/>
                <w:sz w:val="16"/>
              </w:rPr>
              <w:t>Кориолис при 1 м/с</w:t>
            </w:r>
          </w:p>
        </w:tc>
        <w:tc>
          <w:tcPr>
            <w:tcW w:type="dxa" w:w="1417"/>
            <w:shd w:val="clear" w:fill="DEEAF6"/>
          </w:tcPr>
          <w:p>
            <w:pPr>
              <w:jc w:val="center"/>
            </w:pPr>
            <w:r>
              <w:rPr>
                <w:b/>
                <w:sz w:val="16"/>
              </w:rPr>
              <w:t>Обшивка, кг/м²</w:t>
            </w:r>
          </w:p>
        </w:tc>
        <w:tc>
          <w:tcPr>
            <w:tcW w:type="dxa" w:w="1474"/>
            <w:shd w:val="clear" w:fill="DEEAF6"/>
          </w:tcPr>
          <w:p>
            <w:pPr>
              <w:jc w:val="center"/>
            </w:pPr>
            <w:r>
              <w:rPr>
                <w:b/>
                <w:sz w:val="16"/>
              </w:rPr>
              <w:t>Период вращения</w:t>
            </w:r>
          </w:p>
        </w:tc>
      </w:tr>
      <w:tr>
        <w:tc>
          <w:tcPr>
            <w:tcW w:type="dxa" w:w="1814"/>
          </w:tcPr>
          <w:p>
            <w:r>
              <w:rPr>
                <w:sz w:val="16"/>
              </w:rPr>
              <w:t>100</w:t>
            </w:r>
          </w:p>
        </w:tc>
        <w:tc>
          <w:tcPr>
            <w:tcW w:type="dxa" w:w="1020"/>
          </w:tcPr>
          <w:p>
            <w:pPr>
              <w:jc w:val="center"/>
            </w:pPr>
            <w:r>
              <w:rPr>
                <w:sz w:val="16"/>
              </w:rPr>
              <w:t>2,990</w:t>
            </w:r>
          </w:p>
        </w:tc>
        <w:tc>
          <w:tcPr>
            <w:tcW w:type="dxa" w:w="1701"/>
          </w:tcPr>
          <w:p>
            <w:pPr>
              <w:jc w:val="center"/>
            </w:pPr>
            <w:r>
              <w:rPr>
                <w:sz w:val="16"/>
              </w:rPr>
              <w:t>1,7000 %</w:t>
            </w:r>
          </w:p>
        </w:tc>
        <w:tc>
          <w:tcPr>
            <w:tcW w:type="dxa" w:w="1474"/>
          </w:tcPr>
          <w:p>
            <w:pPr>
              <w:jc w:val="center"/>
            </w:pPr>
            <w:r>
              <w:rPr>
                <w:sz w:val="16"/>
              </w:rPr>
              <w:t>0,0639 g</w:t>
            </w:r>
          </w:p>
        </w:tc>
        <w:tc>
          <w:tcPr>
            <w:tcW w:type="dxa" w:w="1417"/>
          </w:tcPr>
          <w:p>
            <w:pPr>
              <w:jc w:val="center"/>
            </w:pPr>
            <w:r>
              <w:rPr>
                <w:sz w:val="16"/>
              </w:rPr>
              <w:t>133</w:t>
            </w:r>
          </w:p>
        </w:tc>
        <w:tc>
          <w:tcPr>
            <w:tcW w:type="dxa" w:w="1474"/>
          </w:tcPr>
          <w:p>
            <w:pPr>
              <w:jc w:val="center"/>
            </w:pPr>
            <w:r>
              <w:rPr>
                <w:sz w:val="16"/>
              </w:rPr>
              <w:t>0,13 ч</w:t>
            </w:r>
          </w:p>
        </w:tc>
      </w:tr>
      <w:tr>
        <w:tc>
          <w:tcPr>
            <w:tcW w:type="dxa" w:w="1814"/>
          </w:tcPr>
          <w:p>
            <w:r>
              <w:rPr>
                <w:sz w:val="16"/>
              </w:rPr>
              <w:t>250</w:t>
            </w:r>
          </w:p>
        </w:tc>
        <w:tc>
          <w:tcPr>
            <w:tcW w:type="dxa" w:w="1020"/>
          </w:tcPr>
          <w:p>
            <w:pPr>
              <w:jc w:val="center"/>
            </w:pPr>
            <w:r>
              <w:rPr>
                <w:sz w:val="16"/>
              </w:rPr>
              <w:t>1,891</w:t>
            </w:r>
          </w:p>
        </w:tc>
        <w:tc>
          <w:tcPr>
            <w:tcW w:type="dxa" w:w="1701"/>
          </w:tcPr>
          <w:p>
            <w:pPr>
              <w:jc w:val="center"/>
            </w:pPr>
            <w:r>
              <w:rPr>
                <w:sz w:val="16"/>
              </w:rPr>
              <w:t>0,6800 %</w:t>
            </w:r>
          </w:p>
        </w:tc>
        <w:tc>
          <w:tcPr>
            <w:tcW w:type="dxa" w:w="1474"/>
          </w:tcPr>
          <w:p>
            <w:pPr>
              <w:jc w:val="center"/>
            </w:pPr>
            <w:r>
              <w:rPr>
                <w:sz w:val="16"/>
              </w:rPr>
              <w:t>0,0404 g</w:t>
            </w:r>
          </w:p>
        </w:tc>
        <w:tc>
          <w:tcPr>
            <w:tcW w:type="dxa" w:w="1417"/>
          </w:tcPr>
          <w:p>
            <w:pPr>
              <w:jc w:val="center"/>
            </w:pPr>
            <w:r>
              <w:rPr>
                <w:sz w:val="16"/>
              </w:rPr>
              <w:t>334</w:t>
            </w:r>
          </w:p>
        </w:tc>
        <w:tc>
          <w:tcPr>
            <w:tcW w:type="dxa" w:w="1474"/>
          </w:tcPr>
          <w:p>
            <w:pPr>
              <w:jc w:val="center"/>
            </w:pPr>
            <w:r>
              <w:rPr>
                <w:sz w:val="16"/>
              </w:rPr>
              <w:t>0,21 ч</w:t>
            </w:r>
          </w:p>
        </w:tc>
      </w:tr>
      <w:tr>
        <w:tc>
          <w:tcPr>
            <w:tcW w:type="dxa" w:w="1814"/>
          </w:tcPr>
          <w:p>
            <w:r>
              <w:rPr>
                <w:sz w:val="16"/>
              </w:rPr>
              <w:t>500</w:t>
            </w:r>
          </w:p>
        </w:tc>
        <w:tc>
          <w:tcPr>
            <w:tcW w:type="dxa" w:w="1020"/>
          </w:tcPr>
          <w:p>
            <w:pPr>
              <w:jc w:val="center"/>
            </w:pPr>
            <w:r>
              <w:rPr>
                <w:sz w:val="16"/>
              </w:rPr>
              <w:t>1,337</w:t>
            </w:r>
          </w:p>
        </w:tc>
        <w:tc>
          <w:tcPr>
            <w:tcW w:type="dxa" w:w="1701"/>
          </w:tcPr>
          <w:p>
            <w:pPr>
              <w:jc w:val="center"/>
            </w:pPr>
            <w:r>
              <w:rPr>
                <w:sz w:val="16"/>
              </w:rPr>
              <w:t>0,3400 %</w:t>
            </w:r>
          </w:p>
        </w:tc>
        <w:tc>
          <w:tcPr>
            <w:tcW w:type="dxa" w:w="1474"/>
          </w:tcPr>
          <w:p>
            <w:pPr>
              <w:jc w:val="center"/>
            </w:pPr>
            <w:r>
              <w:rPr>
                <w:sz w:val="16"/>
              </w:rPr>
              <w:t>0,0286 g</w:t>
            </w:r>
          </w:p>
        </w:tc>
        <w:tc>
          <w:tcPr>
            <w:tcW w:type="dxa" w:w="1417"/>
          </w:tcPr>
          <w:p>
            <w:pPr>
              <w:jc w:val="center"/>
            </w:pPr>
            <w:r>
              <w:rPr>
                <w:sz w:val="16"/>
              </w:rPr>
              <w:t>667</w:t>
            </w:r>
          </w:p>
        </w:tc>
        <w:tc>
          <w:tcPr>
            <w:tcW w:type="dxa" w:w="1474"/>
          </w:tcPr>
          <w:p>
            <w:pPr>
              <w:jc w:val="center"/>
            </w:pPr>
            <w:r>
              <w:rPr>
                <w:sz w:val="16"/>
              </w:rPr>
              <w:t>0,30 ч</w:t>
            </w:r>
          </w:p>
        </w:tc>
      </w:tr>
      <w:tr>
        <w:tc>
          <w:tcPr>
            <w:tcW w:type="dxa" w:w="1814"/>
          </w:tcPr>
          <w:p>
            <w:r>
              <w:rPr>
                <w:sz w:val="16"/>
              </w:rPr>
              <w:t>893 (тор Стэнфорда)</w:t>
            </w:r>
          </w:p>
        </w:tc>
        <w:tc>
          <w:tcPr>
            <w:tcW w:type="dxa" w:w="1020"/>
          </w:tcPr>
          <w:p>
            <w:pPr>
              <w:jc w:val="center"/>
            </w:pPr>
            <w:r>
              <w:rPr>
                <w:sz w:val="16"/>
              </w:rPr>
              <w:t>1,001</w:t>
            </w:r>
          </w:p>
        </w:tc>
        <w:tc>
          <w:tcPr>
            <w:tcW w:type="dxa" w:w="1701"/>
          </w:tcPr>
          <w:p>
            <w:pPr>
              <w:jc w:val="center"/>
            </w:pPr>
            <w:r>
              <w:rPr>
                <w:sz w:val="16"/>
              </w:rPr>
              <w:t>0,1904 %</w:t>
            </w:r>
          </w:p>
        </w:tc>
        <w:tc>
          <w:tcPr>
            <w:tcW w:type="dxa" w:w="1474"/>
          </w:tcPr>
          <w:p>
            <w:pPr>
              <w:jc w:val="center"/>
            </w:pPr>
            <w:r>
              <w:rPr>
                <w:sz w:val="16"/>
              </w:rPr>
              <w:t>0,0214 g</w:t>
            </w:r>
          </w:p>
        </w:tc>
        <w:tc>
          <w:tcPr>
            <w:tcW w:type="dxa" w:w="1417"/>
          </w:tcPr>
          <w:p>
            <w:pPr>
              <w:jc w:val="center"/>
            </w:pPr>
            <w:r>
              <w:rPr>
                <w:sz w:val="16"/>
              </w:rPr>
              <w:t>1192</w:t>
            </w:r>
          </w:p>
        </w:tc>
        <w:tc>
          <w:tcPr>
            <w:tcW w:type="dxa" w:w="1474"/>
          </w:tcPr>
          <w:p>
            <w:pPr>
              <w:jc w:val="center"/>
            </w:pPr>
            <w:r>
              <w:rPr>
                <w:sz w:val="16"/>
              </w:rPr>
              <w:t>0,40 ч</w:t>
            </w:r>
          </w:p>
        </w:tc>
      </w:tr>
      <w:tr>
        <w:tc>
          <w:tcPr>
            <w:tcW w:type="dxa" w:w="1814"/>
          </w:tcPr>
          <w:p>
            <w:r>
              <w:rPr>
                <w:sz w:val="16"/>
              </w:rPr>
              <w:t>5000 (ММОСО’Н)</w:t>
            </w:r>
          </w:p>
        </w:tc>
        <w:tc>
          <w:tcPr>
            <w:tcW w:type="dxa" w:w="1020"/>
          </w:tcPr>
          <w:p>
            <w:pPr>
              <w:jc w:val="center"/>
            </w:pPr>
            <w:r>
              <w:rPr>
                <w:sz w:val="16"/>
              </w:rPr>
              <w:t>0,423</w:t>
            </w:r>
          </w:p>
        </w:tc>
        <w:tc>
          <w:tcPr>
            <w:tcW w:type="dxa" w:w="1701"/>
          </w:tcPr>
          <w:p>
            <w:pPr>
              <w:jc w:val="center"/>
            </w:pPr>
            <w:r>
              <w:rPr>
                <w:sz w:val="16"/>
              </w:rPr>
              <w:t>0,0340 %</w:t>
            </w:r>
          </w:p>
        </w:tc>
        <w:tc>
          <w:tcPr>
            <w:tcW w:type="dxa" w:w="1474"/>
          </w:tcPr>
          <w:p>
            <w:pPr>
              <w:jc w:val="center"/>
            </w:pPr>
            <w:r>
              <w:rPr>
                <w:sz w:val="16"/>
              </w:rPr>
              <w:t>0,0090 g</w:t>
            </w:r>
          </w:p>
        </w:tc>
        <w:tc>
          <w:tcPr>
            <w:tcW w:type="dxa" w:w="1417"/>
          </w:tcPr>
          <w:p>
            <w:pPr>
              <w:jc w:val="center"/>
            </w:pPr>
            <w:r>
              <w:rPr>
                <w:sz w:val="16"/>
              </w:rPr>
              <w:t>6674</w:t>
            </w:r>
          </w:p>
        </w:tc>
        <w:tc>
          <w:tcPr>
            <w:tcW w:type="dxa" w:w="1474"/>
          </w:tcPr>
          <w:p>
            <w:pPr>
              <w:jc w:val="center"/>
            </w:pPr>
            <w:r>
              <w:rPr>
                <w:sz w:val="16"/>
              </w:rPr>
              <w:t>0,95 ч</w:t>
            </w:r>
          </w:p>
        </w:tc>
      </w:tr>
      <w:tr>
        <w:tc>
          <w:tcPr>
            <w:tcW w:type="dxa" w:w="1814"/>
          </w:tcPr>
          <w:p>
            <w:r>
              <w:rPr>
                <w:sz w:val="16"/>
              </w:rPr>
              <w:t>20000</w:t>
            </w:r>
          </w:p>
        </w:tc>
        <w:tc>
          <w:tcPr>
            <w:tcW w:type="dxa" w:w="1020"/>
          </w:tcPr>
          <w:p>
            <w:pPr>
              <w:jc w:val="center"/>
            </w:pPr>
            <w:r>
              <w:rPr>
                <w:sz w:val="16"/>
              </w:rPr>
              <w:t>0,211</w:t>
            </w:r>
          </w:p>
        </w:tc>
        <w:tc>
          <w:tcPr>
            <w:tcW w:type="dxa" w:w="1701"/>
          </w:tcPr>
          <w:p>
            <w:pPr>
              <w:jc w:val="center"/>
            </w:pPr>
            <w:r>
              <w:rPr>
                <w:sz w:val="16"/>
              </w:rPr>
              <w:t>0,0085 %</w:t>
            </w:r>
          </w:p>
        </w:tc>
        <w:tc>
          <w:tcPr>
            <w:tcW w:type="dxa" w:w="1474"/>
          </w:tcPr>
          <w:p>
            <w:pPr>
              <w:jc w:val="center"/>
            </w:pPr>
            <w:r>
              <w:rPr>
                <w:sz w:val="16"/>
              </w:rPr>
              <w:t>0,0045 g</w:t>
            </w:r>
          </w:p>
        </w:tc>
        <w:tc>
          <w:tcPr>
            <w:tcW w:type="dxa" w:w="1417"/>
          </w:tcPr>
          <w:p>
            <w:pPr>
              <w:jc w:val="center"/>
            </w:pPr>
            <w:r>
              <w:rPr>
                <w:sz w:val="16"/>
              </w:rPr>
              <w:t>26695</w:t>
            </w:r>
          </w:p>
        </w:tc>
        <w:tc>
          <w:tcPr>
            <w:tcW w:type="dxa" w:w="1474"/>
          </w:tcPr>
          <w:p>
            <w:pPr>
              <w:jc w:val="center"/>
            </w:pPr>
            <w:r>
              <w:rPr>
                <w:sz w:val="16"/>
              </w:rPr>
              <w:t>1,89 ч</w:t>
            </w:r>
          </w:p>
        </w:tc>
      </w:tr>
      <w:tr>
        <w:tc>
          <w:tcPr>
            <w:tcW w:type="dxa" w:w="1814"/>
          </w:tcPr>
          <w:p>
            <w:r>
              <w:rPr>
                <w:sz w:val="16"/>
              </w:rPr>
              <w:t>100000</w:t>
            </w:r>
          </w:p>
        </w:tc>
        <w:tc>
          <w:tcPr>
            <w:tcW w:type="dxa" w:w="1020"/>
          </w:tcPr>
          <w:p>
            <w:pPr>
              <w:jc w:val="center"/>
            </w:pPr>
            <w:r>
              <w:rPr>
                <w:sz w:val="16"/>
              </w:rPr>
              <w:t>0,095</w:t>
            </w:r>
          </w:p>
        </w:tc>
        <w:tc>
          <w:tcPr>
            <w:tcW w:type="dxa" w:w="1701"/>
          </w:tcPr>
          <w:p>
            <w:pPr>
              <w:jc w:val="center"/>
            </w:pPr>
            <w:r>
              <w:rPr>
                <w:sz w:val="16"/>
              </w:rPr>
              <w:t>0,0017 %</w:t>
            </w:r>
          </w:p>
        </w:tc>
        <w:tc>
          <w:tcPr>
            <w:tcW w:type="dxa" w:w="1474"/>
          </w:tcPr>
          <w:p>
            <w:pPr>
              <w:jc w:val="center"/>
            </w:pPr>
            <w:r>
              <w:rPr>
                <w:sz w:val="16"/>
              </w:rPr>
              <w:t>0,0020 g</w:t>
            </w:r>
          </w:p>
        </w:tc>
        <w:tc>
          <w:tcPr>
            <w:tcW w:type="dxa" w:w="1417"/>
          </w:tcPr>
          <w:p>
            <w:pPr>
              <w:jc w:val="center"/>
            </w:pPr>
            <w:r>
              <w:rPr>
                <w:sz w:val="16"/>
              </w:rPr>
              <w:t>133474</w:t>
            </w:r>
          </w:p>
        </w:tc>
        <w:tc>
          <w:tcPr>
            <w:tcW w:type="dxa" w:w="1474"/>
          </w:tcPr>
          <w:p>
            <w:pPr>
              <w:jc w:val="center"/>
            </w:pPr>
            <w:r>
              <w:rPr>
                <w:sz w:val="16"/>
              </w:rPr>
              <w:t>4,23 ч</w:t>
            </w:r>
          </w:p>
        </w:tc>
      </w:tr>
      <w:tr>
        <w:tc>
          <w:tcPr>
            <w:tcW w:type="dxa" w:w="1814"/>
          </w:tcPr>
          <w:p>
            <w:r>
              <w:rPr>
                <w:sz w:val="16"/>
              </w:rPr>
              <w:t>460000 (Мак-Киндри)</w:t>
            </w:r>
          </w:p>
        </w:tc>
        <w:tc>
          <w:tcPr>
            <w:tcW w:type="dxa" w:w="1020"/>
          </w:tcPr>
          <w:p>
            <w:pPr>
              <w:jc w:val="center"/>
            </w:pPr>
            <w:r>
              <w:rPr>
                <w:sz w:val="16"/>
              </w:rPr>
              <w:t>0,044</w:t>
            </w:r>
          </w:p>
        </w:tc>
        <w:tc>
          <w:tcPr>
            <w:tcW w:type="dxa" w:w="1701"/>
          </w:tcPr>
          <w:p>
            <w:pPr>
              <w:jc w:val="center"/>
            </w:pPr>
            <w:r>
              <w:rPr>
                <w:sz w:val="16"/>
              </w:rPr>
              <w:t>0,0004 %</w:t>
            </w:r>
          </w:p>
        </w:tc>
        <w:tc>
          <w:tcPr>
            <w:tcW w:type="dxa" w:w="1474"/>
          </w:tcPr>
          <w:p>
            <w:pPr>
              <w:jc w:val="center"/>
            </w:pPr>
            <w:r>
              <w:rPr>
                <w:sz w:val="16"/>
              </w:rPr>
              <w:t>0,0009 g</w:t>
            </w:r>
          </w:p>
        </w:tc>
        <w:tc>
          <w:tcPr>
            <w:tcW w:type="dxa" w:w="1417"/>
          </w:tcPr>
          <w:p>
            <w:pPr>
              <w:jc w:val="center"/>
            </w:pPr>
            <w:r>
              <w:rPr>
                <w:sz w:val="16"/>
              </w:rPr>
              <w:t>1141</w:t>
            </w:r>
          </w:p>
        </w:tc>
        <w:tc>
          <w:tcPr>
            <w:tcW w:type="dxa" w:w="1474"/>
          </w:tcPr>
          <w:p>
            <w:pPr>
              <w:jc w:val="center"/>
            </w:pPr>
            <w:r>
              <w:rPr>
                <w:sz w:val="16"/>
              </w:rPr>
              <w:t>9,07 ч</w:t>
            </w:r>
          </w:p>
        </w:tc>
      </w:tr>
    </w:tbl>
    <w:p>
      <w:r>
        <w:t>Обшивка рассчитана при проектном давлении 222,4 кПа и допускаемом напряжении 1308 МПа; для цилиндра Мак-Киндри — при углепластике на углеродных нанотрубках (130 ГПа, 1450 кг/м³).</w:t>
      </w:r>
    </w:p>
    <w:p>
      <w:pPr>
        <w:pStyle w:val="Heading2"/>
      </w:pPr>
      <w:r>
        <w:t>25.1. Два вывода</w:t>
      </w:r>
    </w:p>
    <w:p>
      <w:pPr>
        <w:pStyle w:val="ListBullet"/>
      </w:pPr>
      <w:r>
        <w:t>Радиус покупает комфорт, а не экономию. Масса обшивки на квадратный метр растёт линейно с радиусом: 6674 кг/м² при R = 5000 м против 1192 кг/м² у тора Стэнфорда. Выигрыш ММОСО’Н — в градиенте тяжести (0,034 % против 0,19 %) и в эффекте Кориолиса (0,009 g против 0,021 g), то есть в том, что человек не замечает вращения.</w:t>
      </w:r>
    </w:p>
    <w:p>
      <w:pPr>
        <w:pStyle w:val="ListBullet"/>
      </w:pPr>
      <w:r>
        <w:t>Сутки вращением получить нельзя. Радиус, при котором период вращения равен 24 ч, составляет 1,854·10⁹ м — 1,85 млн км. При любом реальном радиусе период равен минутам. Следовательно, имитация суточного цикла возможна только полосой тьмы, как это и сделано в п. 4.13.5. Это следует записать как доказательство выбранного решения, а не как констатацию.</w:t>
      </w:r>
    </w:p>
    <w:p>
      <w:pPr>
        <w:spacing w:before="200"/>
        <w:jc w:val="center"/>
      </w:pPr>
      <w:r>
        <w:rPr>
          <w:b/>
          <w:color w:val="2E5496"/>
          <w:sz w:val="17"/>
        </w:rPr>
        <w:t>ENGLISH EDITION</w:t>
      </w:r>
    </w:p>
    <w:p>
      <w:pPr>
        <w:pStyle w:val="Heading1"/>
      </w:pPr>
      <w:r>
        <w:t>25. SCALING OF THE ARCHITECTURE</w:t>
      </w:r>
    </w:p>
    <w:p>
      <w:r>
        <w:t>The publication contains no comparison with other habitable architectures. Meanwhile the choice of radius is the main choice of the project, and it determines everything else.</w:t>
      </w:r>
    </w:p>
    <w:p>
      <w:pPr>
        <w:pStyle w:val="Caption"/>
        <w:jc w:val="center"/>
      </w:pPr>
      <w:r>
        <w:t>Table 25.1 — Dependence of the parameters on the radius</w:t>
      </w:r>
    </w:p>
    <w:tbl>
      <w:tblPr>
        <w:tblStyle w:val="TableGrid"/>
        <w:tblW w:type="auto" w:w="0"/>
        <w:jc w:val="center"/>
        <w:tblLayout w:type="fixed"/>
        <w:tblLook w:firstColumn="1" w:firstRow="1" w:lastColumn="0" w:lastRow="0" w:noHBand="0" w:noVBand="1" w:val="04A0"/>
      </w:tblPr>
      <w:tblGrid>
        <w:gridCol w:w="1578"/>
        <w:gridCol w:w="1578"/>
        <w:gridCol w:w="1578"/>
        <w:gridCol w:w="1578"/>
        <w:gridCol w:w="1578"/>
        <w:gridCol w:w="1578"/>
      </w:tblGrid>
      <w:tr>
        <w:tc>
          <w:tcPr>
            <w:tcW w:type="dxa" w:w="1814"/>
            <w:shd w:val="clear" w:fill="DEEAF6"/>
          </w:tcPr>
          <w:p>
            <w:pPr>
              <w:jc w:val="center"/>
            </w:pPr>
            <w:r>
              <w:rPr>
                <w:b/>
                <w:sz w:val="16"/>
              </w:rPr>
              <w:t>R, m</w:t>
            </w:r>
          </w:p>
        </w:tc>
        <w:tc>
          <w:tcPr>
            <w:tcW w:type="dxa" w:w="1020"/>
            <w:shd w:val="clear" w:fill="DEEAF6"/>
          </w:tcPr>
          <w:p>
            <w:pPr>
              <w:jc w:val="center"/>
            </w:pPr>
            <w:r>
              <w:rPr>
                <w:b/>
                <w:sz w:val="16"/>
              </w:rPr>
              <w:t>rpm</w:t>
            </w:r>
          </w:p>
        </w:tc>
        <w:tc>
          <w:tcPr>
            <w:tcW w:type="dxa" w:w="1701"/>
            <w:shd w:val="clear" w:fill="DEEAF6"/>
          </w:tcPr>
          <w:p>
            <w:pPr>
              <w:jc w:val="center"/>
            </w:pPr>
            <w:r>
              <w:rPr>
                <w:b/>
                <w:sz w:val="16"/>
              </w:rPr>
              <w:t>Gradient g over 1.7 m</w:t>
            </w:r>
          </w:p>
        </w:tc>
        <w:tc>
          <w:tcPr>
            <w:tcW w:type="dxa" w:w="1474"/>
            <w:shd w:val="clear" w:fill="DEEAF6"/>
          </w:tcPr>
          <w:p>
            <w:pPr>
              <w:jc w:val="center"/>
            </w:pPr>
            <w:r>
              <w:rPr>
                <w:b/>
                <w:sz w:val="16"/>
              </w:rPr>
              <w:t>Coriolis at 1 m/s</w:t>
            </w:r>
          </w:p>
        </w:tc>
        <w:tc>
          <w:tcPr>
            <w:tcW w:type="dxa" w:w="1417"/>
            <w:shd w:val="clear" w:fill="DEEAF6"/>
          </w:tcPr>
          <w:p>
            <w:pPr>
              <w:jc w:val="center"/>
            </w:pPr>
            <w:r>
              <w:rPr>
                <w:b/>
                <w:sz w:val="16"/>
              </w:rPr>
              <w:t>Cladding, kg/m²</w:t>
            </w:r>
          </w:p>
        </w:tc>
        <w:tc>
          <w:tcPr>
            <w:tcW w:type="dxa" w:w="1474"/>
            <w:shd w:val="clear" w:fill="DEEAF6"/>
          </w:tcPr>
          <w:p>
            <w:pPr>
              <w:jc w:val="center"/>
            </w:pPr>
            <w:r>
              <w:rPr>
                <w:b/>
                <w:sz w:val="16"/>
              </w:rPr>
              <w:t>Rotation period</w:t>
            </w:r>
          </w:p>
        </w:tc>
      </w:tr>
      <w:tr>
        <w:tc>
          <w:tcPr>
            <w:tcW w:type="dxa" w:w="1814"/>
          </w:tcPr>
          <w:p>
            <w:r>
              <w:rPr>
                <w:sz w:val="16"/>
              </w:rPr>
              <w:t>100</w:t>
            </w:r>
          </w:p>
        </w:tc>
        <w:tc>
          <w:tcPr>
            <w:tcW w:type="dxa" w:w="1020"/>
          </w:tcPr>
          <w:p>
            <w:pPr>
              <w:jc w:val="center"/>
            </w:pPr>
            <w:r>
              <w:rPr>
                <w:sz w:val="16"/>
              </w:rPr>
              <w:t>2.990</w:t>
            </w:r>
          </w:p>
        </w:tc>
        <w:tc>
          <w:tcPr>
            <w:tcW w:type="dxa" w:w="1701"/>
          </w:tcPr>
          <w:p>
            <w:pPr>
              <w:jc w:val="center"/>
            </w:pPr>
            <w:r>
              <w:rPr>
                <w:sz w:val="16"/>
              </w:rPr>
              <w:t>1.7000 %</w:t>
            </w:r>
          </w:p>
        </w:tc>
        <w:tc>
          <w:tcPr>
            <w:tcW w:type="dxa" w:w="1474"/>
          </w:tcPr>
          <w:p>
            <w:pPr>
              <w:jc w:val="center"/>
            </w:pPr>
            <w:r>
              <w:rPr>
                <w:sz w:val="16"/>
              </w:rPr>
              <w:t>0.0639 g</w:t>
            </w:r>
          </w:p>
        </w:tc>
        <w:tc>
          <w:tcPr>
            <w:tcW w:type="dxa" w:w="1417"/>
          </w:tcPr>
          <w:p>
            <w:pPr>
              <w:jc w:val="center"/>
            </w:pPr>
            <w:r>
              <w:rPr>
                <w:sz w:val="16"/>
              </w:rPr>
              <w:t>133</w:t>
            </w:r>
          </w:p>
        </w:tc>
        <w:tc>
          <w:tcPr>
            <w:tcW w:type="dxa" w:w="1474"/>
          </w:tcPr>
          <w:p>
            <w:pPr>
              <w:jc w:val="center"/>
            </w:pPr>
            <w:r>
              <w:rPr>
                <w:sz w:val="16"/>
              </w:rPr>
              <w:t>0.13 h</w:t>
            </w:r>
          </w:p>
        </w:tc>
      </w:tr>
      <w:tr>
        <w:tc>
          <w:tcPr>
            <w:tcW w:type="dxa" w:w="1814"/>
          </w:tcPr>
          <w:p>
            <w:r>
              <w:rPr>
                <w:sz w:val="16"/>
              </w:rPr>
              <w:t>250</w:t>
            </w:r>
          </w:p>
        </w:tc>
        <w:tc>
          <w:tcPr>
            <w:tcW w:type="dxa" w:w="1020"/>
          </w:tcPr>
          <w:p>
            <w:pPr>
              <w:jc w:val="center"/>
            </w:pPr>
            <w:r>
              <w:rPr>
                <w:sz w:val="16"/>
              </w:rPr>
              <w:t>1.891</w:t>
            </w:r>
          </w:p>
        </w:tc>
        <w:tc>
          <w:tcPr>
            <w:tcW w:type="dxa" w:w="1701"/>
          </w:tcPr>
          <w:p>
            <w:pPr>
              <w:jc w:val="center"/>
            </w:pPr>
            <w:r>
              <w:rPr>
                <w:sz w:val="16"/>
              </w:rPr>
              <w:t>0.6800 %</w:t>
            </w:r>
          </w:p>
        </w:tc>
        <w:tc>
          <w:tcPr>
            <w:tcW w:type="dxa" w:w="1474"/>
          </w:tcPr>
          <w:p>
            <w:pPr>
              <w:jc w:val="center"/>
            </w:pPr>
            <w:r>
              <w:rPr>
                <w:sz w:val="16"/>
              </w:rPr>
              <w:t>0.0404 g</w:t>
            </w:r>
          </w:p>
        </w:tc>
        <w:tc>
          <w:tcPr>
            <w:tcW w:type="dxa" w:w="1417"/>
          </w:tcPr>
          <w:p>
            <w:pPr>
              <w:jc w:val="center"/>
            </w:pPr>
            <w:r>
              <w:rPr>
                <w:sz w:val="16"/>
              </w:rPr>
              <w:t>334</w:t>
            </w:r>
          </w:p>
        </w:tc>
        <w:tc>
          <w:tcPr>
            <w:tcW w:type="dxa" w:w="1474"/>
          </w:tcPr>
          <w:p>
            <w:pPr>
              <w:jc w:val="center"/>
            </w:pPr>
            <w:r>
              <w:rPr>
                <w:sz w:val="16"/>
              </w:rPr>
              <w:t>0.21 h</w:t>
            </w:r>
          </w:p>
        </w:tc>
      </w:tr>
      <w:tr>
        <w:tc>
          <w:tcPr>
            <w:tcW w:type="dxa" w:w="1814"/>
          </w:tcPr>
          <w:p>
            <w:r>
              <w:rPr>
                <w:sz w:val="16"/>
              </w:rPr>
              <w:t>500</w:t>
            </w:r>
          </w:p>
        </w:tc>
        <w:tc>
          <w:tcPr>
            <w:tcW w:type="dxa" w:w="1020"/>
          </w:tcPr>
          <w:p>
            <w:pPr>
              <w:jc w:val="center"/>
            </w:pPr>
            <w:r>
              <w:rPr>
                <w:sz w:val="16"/>
              </w:rPr>
              <w:t>1.337</w:t>
            </w:r>
          </w:p>
        </w:tc>
        <w:tc>
          <w:tcPr>
            <w:tcW w:type="dxa" w:w="1701"/>
          </w:tcPr>
          <w:p>
            <w:pPr>
              <w:jc w:val="center"/>
            </w:pPr>
            <w:r>
              <w:rPr>
                <w:sz w:val="16"/>
              </w:rPr>
              <w:t>0.3400 %</w:t>
            </w:r>
          </w:p>
        </w:tc>
        <w:tc>
          <w:tcPr>
            <w:tcW w:type="dxa" w:w="1474"/>
          </w:tcPr>
          <w:p>
            <w:pPr>
              <w:jc w:val="center"/>
            </w:pPr>
            <w:r>
              <w:rPr>
                <w:sz w:val="16"/>
              </w:rPr>
              <w:t>0.0286 g</w:t>
            </w:r>
          </w:p>
        </w:tc>
        <w:tc>
          <w:tcPr>
            <w:tcW w:type="dxa" w:w="1417"/>
          </w:tcPr>
          <w:p>
            <w:pPr>
              <w:jc w:val="center"/>
            </w:pPr>
            <w:r>
              <w:rPr>
                <w:sz w:val="16"/>
              </w:rPr>
              <w:t>667</w:t>
            </w:r>
          </w:p>
        </w:tc>
        <w:tc>
          <w:tcPr>
            <w:tcW w:type="dxa" w:w="1474"/>
          </w:tcPr>
          <w:p>
            <w:pPr>
              <w:jc w:val="center"/>
            </w:pPr>
            <w:r>
              <w:rPr>
                <w:sz w:val="16"/>
              </w:rPr>
              <w:t>0.30 h</w:t>
            </w:r>
          </w:p>
        </w:tc>
      </w:tr>
      <w:tr>
        <w:tc>
          <w:tcPr>
            <w:tcW w:type="dxa" w:w="1814"/>
          </w:tcPr>
          <w:p>
            <w:r>
              <w:rPr>
                <w:sz w:val="16"/>
              </w:rPr>
              <w:t>893 (Stanford torus)</w:t>
            </w:r>
          </w:p>
        </w:tc>
        <w:tc>
          <w:tcPr>
            <w:tcW w:type="dxa" w:w="1020"/>
          </w:tcPr>
          <w:p>
            <w:pPr>
              <w:jc w:val="center"/>
            </w:pPr>
            <w:r>
              <w:rPr>
                <w:sz w:val="16"/>
              </w:rPr>
              <w:t>1.001</w:t>
            </w:r>
          </w:p>
        </w:tc>
        <w:tc>
          <w:tcPr>
            <w:tcW w:type="dxa" w:w="1701"/>
          </w:tcPr>
          <w:p>
            <w:pPr>
              <w:jc w:val="center"/>
            </w:pPr>
            <w:r>
              <w:rPr>
                <w:sz w:val="16"/>
              </w:rPr>
              <w:t>0.1904 %</w:t>
            </w:r>
          </w:p>
        </w:tc>
        <w:tc>
          <w:tcPr>
            <w:tcW w:type="dxa" w:w="1474"/>
          </w:tcPr>
          <w:p>
            <w:pPr>
              <w:jc w:val="center"/>
            </w:pPr>
            <w:r>
              <w:rPr>
                <w:sz w:val="16"/>
              </w:rPr>
              <w:t>0.0214 g</w:t>
            </w:r>
          </w:p>
        </w:tc>
        <w:tc>
          <w:tcPr>
            <w:tcW w:type="dxa" w:w="1417"/>
          </w:tcPr>
          <w:p>
            <w:pPr>
              <w:jc w:val="center"/>
            </w:pPr>
            <w:r>
              <w:rPr>
                <w:sz w:val="16"/>
              </w:rPr>
              <w:t>1192</w:t>
            </w:r>
          </w:p>
        </w:tc>
        <w:tc>
          <w:tcPr>
            <w:tcW w:type="dxa" w:w="1474"/>
          </w:tcPr>
          <w:p>
            <w:pPr>
              <w:jc w:val="center"/>
            </w:pPr>
            <w:r>
              <w:rPr>
                <w:sz w:val="16"/>
              </w:rPr>
              <w:t>0.40 h</w:t>
            </w:r>
          </w:p>
        </w:tc>
      </w:tr>
      <w:tr>
        <w:tc>
          <w:tcPr>
            <w:tcW w:type="dxa" w:w="1814"/>
          </w:tcPr>
          <w:p>
            <w:r>
              <w:rPr>
                <w:sz w:val="16"/>
              </w:rPr>
              <w:t>5000 (MMOSON)</w:t>
            </w:r>
          </w:p>
        </w:tc>
        <w:tc>
          <w:tcPr>
            <w:tcW w:type="dxa" w:w="1020"/>
          </w:tcPr>
          <w:p>
            <w:pPr>
              <w:jc w:val="center"/>
            </w:pPr>
            <w:r>
              <w:rPr>
                <w:sz w:val="16"/>
              </w:rPr>
              <w:t>0.423</w:t>
            </w:r>
          </w:p>
        </w:tc>
        <w:tc>
          <w:tcPr>
            <w:tcW w:type="dxa" w:w="1701"/>
          </w:tcPr>
          <w:p>
            <w:pPr>
              <w:jc w:val="center"/>
            </w:pPr>
            <w:r>
              <w:rPr>
                <w:sz w:val="16"/>
              </w:rPr>
              <w:t>0.0340 %</w:t>
            </w:r>
          </w:p>
        </w:tc>
        <w:tc>
          <w:tcPr>
            <w:tcW w:type="dxa" w:w="1474"/>
          </w:tcPr>
          <w:p>
            <w:pPr>
              <w:jc w:val="center"/>
            </w:pPr>
            <w:r>
              <w:rPr>
                <w:sz w:val="16"/>
              </w:rPr>
              <w:t>0.0090 g</w:t>
            </w:r>
          </w:p>
        </w:tc>
        <w:tc>
          <w:tcPr>
            <w:tcW w:type="dxa" w:w="1417"/>
          </w:tcPr>
          <w:p>
            <w:pPr>
              <w:jc w:val="center"/>
            </w:pPr>
            <w:r>
              <w:rPr>
                <w:sz w:val="16"/>
              </w:rPr>
              <w:t>6674</w:t>
            </w:r>
          </w:p>
        </w:tc>
        <w:tc>
          <w:tcPr>
            <w:tcW w:type="dxa" w:w="1474"/>
          </w:tcPr>
          <w:p>
            <w:pPr>
              <w:jc w:val="center"/>
            </w:pPr>
            <w:r>
              <w:rPr>
                <w:sz w:val="16"/>
              </w:rPr>
              <w:t>0.95 h</w:t>
            </w:r>
          </w:p>
        </w:tc>
      </w:tr>
      <w:tr>
        <w:tc>
          <w:tcPr>
            <w:tcW w:type="dxa" w:w="1814"/>
          </w:tcPr>
          <w:p>
            <w:r>
              <w:rPr>
                <w:sz w:val="16"/>
              </w:rPr>
              <w:t>20000</w:t>
            </w:r>
          </w:p>
        </w:tc>
        <w:tc>
          <w:tcPr>
            <w:tcW w:type="dxa" w:w="1020"/>
          </w:tcPr>
          <w:p>
            <w:pPr>
              <w:jc w:val="center"/>
            </w:pPr>
            <w:r>
              <w:rPr>
                <w:sz w:val="16"/>
              </w:rPr>
              <w:t>0.211</w:t>
            </w:r>
          </w:p>
        </w:tc>
        <w:tc>
          <w:tcPr>
            <w:tcW w:type="dxa" w:w="1701"/>
          </w:tcPr>
          <w:p>
            <w:pPr>
              <w:jc w:val="center"/>
            </w:pPr>
            <w:r>
              <w:rPr>
                <w:sz w:val="16"/>
              </w:rPr>
              <w:t>0.0085 %</w:t>
            </w:r>
          </w:p>
        </w:tc>
        <w:tc>
          <w:tcPr>
            <w:tcW w:type="dxa" w:w="1474"/>
          </w:tcPr>
          <w:p>
            <w:pPr>
              <w:jc w:val="center"/>
            </w:pPr>
            <w:r>
              <w:rPr>
                <w:sz w:val="16"/>
              </w:rPr>
              <w:t>0.0045 g</w:t>
            </w:r>
          </w:p>
        </w:tc>
        <w:tc>
          <w:tcPr>
            <w:tcW w:type="dxa" w:w="1417"/>
          </w:tcPr>
          <w:p>
            <w:pPr>
              <w:jc w:val="center"/>
            </w:pPr>
            <w:r>
              <w:rPr>
                <w:sz w:val="16"/>
              </w:rPr>
              <w:t>26695</w:t>
            </w:r>
          </w:p>
        </w:tc>
        <w:tc>
          <w:tcPr>
            <w:tcW w:type="dxa" w:w="1474"/>
          </w:tcPr>
          <w:p>
            <w:pPr>
              <w:jc w:val="center"/>
            </w:pPr>
            <w:r>
              <w:rPr>
                <w:sz w:val="16"/>
              </w:rPr>
              <w:t>1.89 h</w:t>
            </w:r>
          </w:p>
        </w:tc>
      </w:tr>
      <w:tr>
        <w:tc>
          <w:tcPr>
            <w:tcW w:type="dxa" w:w="1814"/>
          </w:tcPr>
          <w:p>
            <w:r>
              <w:rPr>
                <w:sz w:val="16"/>
              </w:rPr>
              <w:t>100000</w:t>
            </w:r>
          </w:p>
        </w:tc>
        <w:tc>
          <w:tcPr>
            <w:tcW w:type="dxa" w:w="1020"/>
          </w:tcPr>
          <w:p>
            <w:pPr>
              <w:jc w:val="center"/>
            </w:pPr>
            <w:r>
              <w:rPr>
                <w:sz w:val="16"/>
              </w:rPr>
              <w:t>0.095</w:t>
            </w:r>
          </w:p>
        </w:tc>
        <w:tc>
          <w:tcPr>
            <w:tcW w:type="dxa" w:w="1701"/>
          </w:tcPr>
          <w:p>
            <w:pPr>
              <w:jc w:val="center"/>
            </w:pPr>
            <w:r>
              <w:rPr>
                <w:sz w:val="16"/>
              </w:rPr>
              <w:t>0.0017 %</w:t>
            </w:r>
          </w:p>
        </w:tc>
        <w:tc>
          <w:tcPr>
            <w:tcW w:type="dxa" w:w="1474"/>
          </w:tcPr>
          <w:p>
            <w:pPr>
              <w:jc w:val="center"/>
            </w:pPr>
            <w:r>
              <w:rPr>
                <w:sz w:val="16"/>
              </w:rPr>
              <w:t>0.0020 g</w:t>
            </w:r>
          </w:p>
        </w:tc>
        <w:tc>
          <w:tcPr>
            <w:tcW w:type="dxa" w:w="1417"/>
          </w:tcPr>
          <w:p>
            <w:pPr>
              <w:jc w:val="center"/>
            </w:pPr>
            <w:r>
              <w:rPr>
                <w:sz w:val="16"/>
              </w:rPr>
              <w:t>133474</w:t>
            </w:r>
          </w:p>
        </w:tc>
        <w:tc>
          <w:tcPr>
            <w:tcW w:type="dxa" w:w="1474"/>
          </w:tcPr>
          <w:p>
            <w:pPr>
              <w:jc w:val="center"/>
            </w:pPr>
            <w:r>
              <w:rPr>
                <w:sz w:val="16"/>
              </w:rPr>
              <w:t>4.23 h</w:t>
            </w:r>
          </w:p>
        </w:tc>
      </w:tr>
      <w:tr>
        <w:tc>
          <w:tcPr>
            <w:tcW w:type="dxa" w:w="1814"/>
          </w:tcPr>
          <w:p>
            <w:r>
              <w:rPr>
                <w:sz w:val="16"/>
              </w:rPr>
              <w:t>460000 (McKendree)</w:t>
            </w:r>
          </w:p>
        </w:tc>
        <w:tc>
          <w:tcPr>
            <w:tcW w:type="dxa" w:w="1020"/>
          </w:tcPr>
          <w:p>
            <w:pPr>
              <w:jc w:val="center"/>
            </w:pPr>
            <w:r>
              <w:rPr>
                <w:sz w:val="16"/>
              </w:rPr>
              <w:t>0.044</w:t>
            </w:r>
          </w:p>
        </w:tc>
        <w:tc>
          <w:tcPr>
            <w:tcW w:type="dxa" w:w="1701"/>
          </w:tcPr>
          <w:p>
            <w:pPr>
              <w:jc w:val="center"/>
            </w:pPr>
            <w:r>
              <w:rPr>
                <w:sz w:val="16"/>
              </w:rPr>
              <w:t>0.0004 %</w:t>
            </w:r>
          </w:p>
        </w:tc>
        <w:tc>
          <w:tcPr>
            <w:tcW w:type="dxa" w:w="1474"/>
          </w:tcPr>
          <w:p>
            <w:pPr>
              <w:jc w:val="center"/>
            </w:pPr>
            <w:r>
              <w:rPr>
                <w:sz w:val="16"/>
              </w:rPr>
              <w:t>0.0009 g</w:t>
            </w:r>
          </w:p>
        </w:tc>
        <w:tc>
          <w:tcPr>
            <w:tcW w:type="dxa" w:w="1417"/>
          </w:tcPr>
          <w:p>
            <w:pPr>
              <w:jc w:val="center"/>
            </w:pPr>
            <w:r>
              <w:rPr>
                <w:sz w:val="16"/>
              </w:rPr>
              <w:t>1141</w:t>
            </w:r>
          </w:p>
        </w:tc>
        <w:tc>
          <w:tcPr>
            <w:tcW w:type="dxa" w:w="1474"/>
          </w:tcPr>
          <w:p>
            <w:pPr>
              <w:jc w:val="center"/>
            </w:pPr>
            <w:r>
              <w:rPr>
                <w:sz w:val="16"/>
              </w:rPr>
              <w:t>9.07 h</w:t>
            </w:r>
          </w:p>
        </w:tc>
      </w:tr>
    </w:tbl>
    <w:p>
      <w:r>
        <w:t>The cladding is calculated at a design pressure of 222.4 kPa and an allowable stress of 1308 MPa; for the McKendree cylinder — at carbon-nanotube composite (130 GPa, 1450 kg/m³).</w:t>
      </w:r>
    </w:p>
    <w:p>
      <w:pPr>
        <w:pStyle w:val="Heading2"/>
      </w:pPr>
      <w:r>
        <w:t>25.1. Two conclusions</w:t>
      </w:r>
    </w:p>
    <w:p>
      <w:pPr>
        <w:pStyle w:val="ListBullet"/>
      </w:pPr>
      <w:r>
        <w:t>The radius buys comfort, not economy. The cladding mass per square metre grows linearly with the radius: 6674 kg/m² at R = 5000 m against 1192 kg/m² for the Stanford torus. The gain of MMOSON lies in the gravity gradient (0.034 % against 0.19 %) and in the Coriolis effect (0.009 g against 0.021 g), that is in the fact that a person does not notice the rotation.</w:t>
      </w:r>
    </w:p>
    <w:p>
      <w:pPr>
        <w:pStyle w:val="ListBullet"/>
      </w:pPr>
      <w:r>
        <w:t>A day cannot be obtained by rotation. The radius at which the rotation period equals 24 h is 1.854·10⁹ m — 1.85 million km. At any real radius the period is minutes. Consequently, imitation of the daily cycle is possible only by the dark band, as is done in para. 4.13.5. This should be recorded as a proof of the chosen solution, not as a statement of fact.</w:t>
      </w:r>
    </w:p>
    <w:p/>
    <w:p>
      <w:pPr>
        <w:spacing w:before="200"/>
        <w:jc w:val="center"/>
      </w:pPr>
      <w:r>
        <w:rPr>
          <w:b/>
          <w:color w:val="2E5496"/>
          <w:sz w:val="17"/>
        </w:rPr>
        <w:t>СПИСОК ЛИТЕРАТУРЫ РАЗДЕЛА / REFERENCES OF THIS SECTION</w:t>
      </w:r>
    </w:p>
    <w:p>
      <w:pPr>
        <w:ind w:left="340" w:hanging="340"/>
      </w:pPr>
      <w:r>
        <w:rPr>
          <w:sz w:val="18"/>
        </w:rPr>
        <w:t>1. O’Neill G. K. The Colonization of Space // Physics Today. 1974. Vol. 27, No. 9. P. 32–40. doi:10.1063/1.3128863.</w:t>
      </w:r>
    </w:p>
    <w:p>
      <w:pPr>
        <w:ind w:left="340" w:hanging="340"/>
      </w:pPr>
      <w:r>
        <w:rPr>
          <w:sz w:val="18"/>
        </w:rPr>
        <w:t>1. O’Neill G. K. The Colonization of Space // Physics Today. 1974. Vol. 27, No. 9. P. 32–40. doi:10.1063/1.3128863.</w:t>
      </w:r>
    </w:p>
    <w:p>
      <w:pPr>
        <w:ind w:left="340" w:hanging="340"/>
      </w:pPr>
      <w:r>
        <w:rPr>
          <w:sz w:val="18"/>
        </w:rPr>
        <w:t>2. O’Neill G. K. The High Frontier: Human Colonies in Space. New York: William Morrow, 1977.</w:t>
      </w:r>
    </w:p>
    <w:p>
      <w:pPr>
        <w:ind w:left="340" w:hanging="340"/>
      </w:pPr>
      <w:r>
        <w:rPr>
          <w:sz w:val="18"/>
        </w:rPr>
        <w:t>2. O’Neill G. K. The High Frontier: Human Colonies in Space. New York: William Morrow, 1977.</w:t>
      </w:r>
    </w:p>
    <w:p>
      <w:pPr>
        <w:ind w:left="340" w:hanging="340"/>
      </w:pPr>
      <w:r>
        <w:rPr>
          <w:sz w:val="18"/>
        </w:rPr>
        <w:t>3. Johnson R. D., Holbrow C. (eds.). Space Settlements: A Design Study. NASA SP-413. Washington: NASA Scientific and Technical Information Office, 1977.</w:t>
      </w:r>
    </w:p>
    <w:p>
      <w:pPr>
        <w:ind w:left="340" w:hanging="340"/>
      </w:pPr>
      <w:r>
        <w:rPr>
          <w:sz w:val="18"/>
        </w:rPr>
        <w:t>3. Johnson R. D., Holbrow C. (eds.). Space Settlements: A Design Study. NASA SP-413. Washington: NASA Scientific and Technical Information Office, 1977.</w:t>
      </w:r>
    </w:p>
    <w:p>
      <w:r>
        <w:rPr>
          <w:b/>
          <w:sz w:val="18"/>
        </w:rPr>
        <w:t>Кроме того, раздел опирается на собственные допущения публикации:</w:t>
      </w:r>
    </w:p>
    <w:p>
      <w:pPr>
        <w:ind w:left="340" w:hanging="340"/>
      </w:pPr>
      <w:r>
        <w:rPr>
          <w:sz w:val="18"/>
        </w:rPr>
        <w:t>· Геометрия и вращение: радиус, длина, угловая скорость и искусственная гравитация представлены аналитическими соотношениями.</w:t>
      </w:r>
    </w:p>
    <w:p>
      <w:pPr>
        <w:ind w:left="340" w:hanging="340"/>
      </w:pPr>
      <w:r>
        <w:rPr>
          <w:sz w:val="18"/>
        </w:rPr>
        <w:t>· Geometry and rotation: radius, length, angular velocity and artificial gravity are given by analytical relations.</w:t>
      </w:r>
    </w:p>
    <w:p>
      <w:pPr>
        <w:ind w:left="340" w:hanging="340"/>
      </w:pPr>
      <w:r>
        <w:rPr>
          <w:sz w:val="18"/>
        </w:rPr>
        <w:t>· Несущая оболочка: напряжения и массовые оценки являются предварительными оценками первого уровня.</w:t>
      </w:r>
    </w:p>
    <w:p>
      <w:pPr>
        <w:ind w:left="340" w:hanging="340"/>
      </w:pPr>
      <w:r>
        <w:rPr>
          <w:sz w:val="18"/>
        </w:rPr>
        <w:t>· Load-bearing shell: stresses and mass estimates are first-level preliminary estimates.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