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i/>
          <w:sz w:val="18"/>
        </w:rPr>
        <w:t>Раздел 27 / Section 27</w:t>
      </w:r>
    </w:p>
    <w:p>
      <w:pPr>
        <w:jc w:val="center"/>
      </w:pPr>
      <w:r>
        <w:rPr>
          <w:b/>
          <w:color w:val="1F3864"/>
          <w:sz w:val="26"/>
        </w:rPr>
        <w:t>27. СВОДКА НОВЫХ ОБЛАСТЕЙ</w:t>
      </w:r>
    </w:p>
    <w:p>
      <w:pPr>
        <w:jc w:val="center"/>
      </w:pPr>
      <w:r>
        <w:rPr>
          <w:b/>
          <w:color w:val="1F3864"/>
          <w:sz w:val="26"/>
        </w:rPr>
        <w:t>27. SUMMARY OF THE NEW DOMAINS</w:t>
      </w:r>
    </w:p>
    <w:p>
      <w:pPr>
        <w:jc w:val="center"/>
      </w:pPr>
      <w:r>
        <w:rPr>
          <w:i/>
          <w:sz w:val="17"/>
        </w:rPr>
        <w:t>Редакция 8 · 31 октября 2026 г.  ·  документ 29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</w:pPr>
      <w:r>
        <w:t>27. СВОДКА НОВЫХ ОБЛАСТЕЙ</w:t>
      </w:r>
    </w:p>
    <w:p>
      <w:pPr>
        <w:pStyle w:val="Caption"/>
        <w:jc w:val="center"/>
      </w:pPr>
      <w:r>
        <w:t>Таблица 27.1 — Сводка семи новых областей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587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Область</w:t>
            </w:r>
          </w:p>
        </w:tc>
        <w:tc>
          <w:tcPr>
            <w:tcW w:type="dxa" w:w="3402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Ключевой результат</w:t>
            </w:r>
          </w:p>
        </w:tc>
        <w:tc>
          <w:tcPr>
            <w:tcW w:type="dxa" w:w="3402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Следствие для проекта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Носовые купола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509 МПа на полюсе против 1308 МПа в цилиндре; стык касательный, запас 1,12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Купола не критичны; обитаемая площадь 1256,6 км², а не 1550,1 км²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Потеря вращения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Вращение равно 18,4 суток полной мощности; оболочка разгружается на 13 %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Аварийный режим на недели; обязателен синхронный останов цилиндров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Визуальная среда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Горизонт 131 м поперёк оси; ОСБ — линия 0,092°; 71 % света из конуса 45°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Навигация только по осевой координате; новый психофизический фактор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Химия воздуха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1 кВт УФ-С даёт 0,022 ppb озона; S/V в 7000 раз меньше комнатного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Спектр ОСБ ограничить снизу 280 нм; система уничтожения ЛОС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Почва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Уклон нуль; засоление 3,0 Мт при 0,05 % солей; эрозия 28 500 лет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Промывка грунта при вводе; ограничение солей в спецификации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Масштабирование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Обшивка растёт линейно с R; сутки вращением невозможны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Выбор R = 5000 м — комфорт, не экономия; полоса тьмы единственна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Связь с L1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10 с туда-обратно; 12 оптических терминалов на 1 млн человек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Оптическая линия основная; самостоятельное управление в реальном времени</w:t>
            </w:r>
          </w:p>
        </w:tc>
      </w:tr>
    </w:tbl>
    <w:p>
      <w:pPr>
        <w:pStyle w:val="Heading2"/>
      </w:pPr>
      <w:r>
        <w:t>27.1. Что осталось открытым</w:t>
      </w:r>
    </w:p>
    <w:p>
      <w:pPr>
        <w:pStyle w:val="ListBullet"/>
      </w:pPr>
      <w:r>
        <w:t>Полная механика торца: изгиб в районе стыка и поведение при неравномерной нагрузке от оборудования технических зон.</w:t>
      </w:r>
    </w:p>
    <w:p>
      <w:pPr>
        <w:pStyle w:val="ListBullet"/>
      </w:pPr>
      <w:r>
        <w:t>Модель аварийного останова: время торможения от трения подшипниковых узлов и сопротивления атмосферы.</w:t>
      </w:r>
    </w:p>
    <w:p>
      <w:pPr>
        <w:pStyle w:val="ListBullet"/>
      </w:pPr>
      <w:r>
        <w:t>Химия атмосферы как система: гидроксильный радикал, озон, метан и оксиды азота во взаимодействии, по аналогии с разделом 16.</w:t>
      </w:r>
    </w:p>
    <w:p>
      <w:pPr>
        <w:pStyle w:val="ListBullet"/>
      </w:pPr>
      <w:r>
        <w:t>Почвенный профиль как многослойная система: дренаж, водоудержание, буферная ёмкость.</w:t>
      </w:r>
    </w:p>
    <w:p>
      <w:pPr>
        <w:pStyle w:val="ListBullet"/>
      </w:pPr>
      <w:r>
        <w:t>Спецификация грунта и материалов по испаряемости.</w:t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</w:pPr>
      <w:r>
        <w:t>27. SUMMARY OF THE NEW DOMAINS</w:t>
      </w:r>
    </w:p>
    <w:p>
      <w:pPr>
        <w:pStyle w:val="Caption"/>
        <w:jc w:val="center"/>
      </w:pPr>
      <w:r>
        <w:t>Table 27.1 — Summary of the seven new domains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1587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Domain</w:t>
            </w:r>
          </w:p>
        </w:tc>
        <w:tc>
          <w:tcPr>
            <w:tcW w:type="dxa" w:w="3402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Key result</w:t>
            </w:r>
          </w:p>
        </w:tc>
        <w:tc>
          <w:tcPr>
            <w:tcW w:type="dxa" w:w="3402"/>
            <w:shd w:val="clear" w:fill="DEEAF6"/>
          </w:tcPr>
          <w:p>
            <w:pPr>
              <w:jc w:val="center"/>
            </w:pPr>
            <w:r>
              <w:rPr>
                <w:b/>
                <w:sz w:val="16"/>
              </w:rPr>
              <w:t>Consequence for the project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Nose domes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509 MPa at the pole against 1308 MPa in the cylinder; the joint is tangential, margin 1.12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The domes are not critical; habitable area 1256.6 km², not 1550.1 km²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Loss of rotation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Rotation equals 18.4 days of full power; the shell is unloaded by 13 %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Emergency regime for weeks; a synchronous stop of the cylinders is mandatory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Visual environment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Horizon 131 m across the axis; the OSB is a line of 0.092°; 71 % of light from a 45° cone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Navigation only by the axial coordinate; a new psychophysical factor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Air chemistry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1 kW of UV-C gives 0.022 ppb of ozone; S/V is 7000 times smaller than in a room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Limit the OSB spectrum from below at 280 nm; a VOC destruction system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Soil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Zero slope; salinisation 3.0 Mt at 0.05 % salts; erosion 28 500 years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Soil washing during commissioning; a salt limit in the specification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Scaling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Cladding grows linearly with R; a day cannot be obtained by rotation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The choice R = 5000 m is comfort, not economy; the dark band is the only way</w:t>
            </w:r>
          </w:p>
        </w:tc>
      </w:tr>
      <w:tr>
        <w:tc>
          <w:tcPr>
            <w:tcW w:type="dxa" w:w="1587"/>
          </w:tcPr>
          <w:p>
            <w:r>
              <w:rPr>
                <w:sz w:val="16"/>
              </w:rPr>
              <w:t>Communications from L1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10 s round trip; 12 optical terminals for one million people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6"/>
              </w:rPr>
              <w:t>The optical line is the main one; self-government in real time</w:t>
            </w:r>
          </w:p>
        </w:tc>
      </w:tr>
    </w:tbl>
    <w:p>
      <w:pPr>
        <w:pStyle w:val="Heading2"/>
      </w:pPr>
      <w:r>
        <w:t>27.1. What remains open</w:t>
      </w:r>
    </w:p>
    <w:p>
      <w:pPr>
        <w:pStyle w:val="ListBullet"/>
      </w:pPr>
      <w:r>
        <w:t>Full mechanics of the end: bending near the joint and behaviour under non-uniform load from the equipment of the technical zones.</w:t>
      </w:r>
    </w:p>
    <w:p>
      <w:pPr>
        <w:pStyle w:val="ListBullet"/>
      </w:pPr>
      <w:r>
        <w:t>A model of the emergency stop: braking time from friction of the bearing units and atmospheric resistance.</w:t>
      </w:r>
    </w:p>
    <w:p>
      <w:pPr>
        <w:pStyle w:val="ListBullet"/>
      </w:pPr>
      <w:r>
        <w:t>Atmospheric chemistry as a system: hydroxyl radical, ozone, methane and nitrogen oxides in interaction, by analogy with Section 16.</w:t>
      </w:r>
    </w:p>
    <w:p>
      <w:pPr>
        <w:pStyle w:val="ListBullet"/>
      </w:pPr>
      <w:r>
        <w:t>The soil profile as a multilayer system: drainage, water retention, buffer capacity.</w:t>
      </w:r>
    </w:p>
    <w:p>
      <w:pPr>
        <w:pStyle w:val="ListBullet"/>
      </w:pPr>
      <w:r>
        <w:t>A specification for soil and materials by emission.</w:t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r>
        <w:rPr>
          <w:i/>
          <w:sz w:val="18"/>
        </w:rPr>
        <w:t>Раздел не опирается на внешние источники: все его величины получены вычислением из параметров, принятых в разделе 2.</w:t>
      </w:r>
    </w:p>
    <w:p>
      <w:r>
        <w:rPr>
          <w:i/>
          <w:sz w:val="18"/>
        </w:rPr>
        <w:t>This section does not rely on external sources: all its values are obtained by computation from the parameters adopted in section 2.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