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28 / Section 28</w:t>
      </w:r>
    </w:p>
    <w:p>
      <w:pPr>
        <w:jc w:val="center"/>
      </w:pPr>
      <w:r>
        <w:rPr>
          <w:b/>
          <w:color w:val="1F3864"/>
          <w:sz w:val="26"/>
        </w:rPr>
        <w:t>28. ГЕНЕТИКА ЗАМКНУТОЙ ПОПУЛЯЦИИ</w:t>
      </w:r>
    </w:p>
    <w:p>
      <w:pPr>
        <w:jc w:val="center"/>
      </w:pPr>
      <w:r>
        <w:rPr>
          <w:b/>
          <w:color w:val="1F3864"/>
          <w:sz w:val="26"/>
        </w:rPr>
        <w:t>28. GENETICS OF A CLOSED POPULATION</w:t>
      </w:r>
    </w:p>
    <w:p>
      <w:pPr>
        <w:jc w:val="center"/>
      </w:pPr>
      <w:r>
        <w:rPr>
          <w:i/>
          <w:sz w:val="17"/>
        </w:rPr>
        <w:t>Редакция 8 · 31 октября 2026 г.  ·  документ 30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pageBreakBefore/>
      </w:pPr>
      <w:r>
        <w:t>28. ГЕНЕТИКА ЗАМКНУТОЙ ПОПУЛЯЦИИ</w:t>
      </w:r>
    </w:p>
    <w:p>
      <w:r>
        <w:t>Демографический расчёт п. 11.4 оперирует численностью: 1 000 000 человек, по 500 000 на цилиндр, коэффициент рождаемости 2,1, верхняя граница 1,2 млн и нижняя 0,6 млн. Численность при этом считается обеспеченной. Настоящий раздел отвечает на вопрос, который в работе не был поставлен: сохраняет ли замкнутая популяция генетическое разнообразие на горизонте 200 лет, или все жители станции к концу столетия оказываются родственниками.</w:t>
      </w:r>
    </w:p>
    <w:p>
      <w:pPr>
        <w:pStyle w:val="Heading2"/>
      </w:pPr>
      <w:r>
        <w:t>28.1. Почему численности недостаточно</w:t>
      </w:r>
    </w:p>
    <w:p>
      <w:r>
        <w:t>Генетическая судьба популяции определяется не числом живых, а эффективным размером — числом особей, реально оставляющих потомство. Между ними существует разрыв: при равной численности эффективный размер меньше всякий раз, когда успех размножения распределён неравномерно. У человека дисперсия числа выживших потомков превышает пуассоновскую, поэтому при численности 1 000 000 эффективный размер составляет порядка 800 000.</w:t>
      </w:r>
    </w:p>
    <w:p>
      <w:pPr>
        <w:pStyle w:val="Heading2"/>
      </w:pPr>
      <w:r>
        <w:t>28.2. Эффективный размер и темп инбридинга</w:t>
      </w:r>
    </w:p>
    <w:p>
      <w:r>
        <w:t>Прирост коэффициента инбридинга за поколение обратно пропорционален удвоенному эффективному размеру. При эффективном размере 800 000 прирост составляет 6,25·10⁻⁷ за поколение. Поколение принимается равным 28 годам — среднему возрасту родителей при рождении ребёнка; горизонт 200 лет составляет, следовательно, 7,14 поколения. Накопление за весь срок службы даёт 0,00045 % — величину, которую невозможно измерить.</w:t>
      </w:r>
    </w:p>
    <w:p>
      <w:pPr>
        <w:pStyle w:val="Heading2"/>
      </w:pPr>
      <w:r>
        <w:t>28.3. Требование к основателям</w:t>
      </w:r>
    </w:p>
    <w:p>
      <w:r>
        <w:t>Скорость прироста при установившейся численности не является ограничением. Ограничением является начальное событие: генетический состав основателей фиксируется навсегда, и всё дальнейшее — дрейф вокруг этого состава. В охране биологии принято правило 50/500: эффективный размер не ниже 50 избавляет от непосредственной инбредной депрессии, не ниже 500 сохраняет эволюционный потенциал. Более поздний пересмотр рекомендует удвоить оба порога — до 100 и 1000.</w:t>
      </w:r>
    </w:p>
    <w:p>
      <w:pPr>
        <w:pStyle w:val="Caption"/>
        <w:jc w:val="center"/>
      </w:pPr>
      <w:r>
        <w:t>Таблица 28.1 — Генетические параметры замкнутой популяции</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628"/>
            <w:shd w:val="clear" w:fill="DEEAF6"/>
          </w:tcPr>
          <w:p>
            <w:pPr>
              <w:jc w:val="center"/>
            </w:pPr>
            <w:r>
              <w:rPr>
                <w:b/>
                <w:sz w:val="16"/>
              </w:rPr>
              <w:t>Показатель</w:t>
            </w:r>
          </w:p>
        </w:tc>
        <w:tc>
          <w:tcPr>
            <w:tcW w:type="dxa" w:w="1701"/>
            <w:shd w:val="clear" w:fill="DEEAF6"/>
          </w:tcPr>
          <w:p>
            <w:pPr>
              <w:jc w:val="center"/>
            </w:pPr>
            <w:r>
              <w:rPr>
                <w:b/>
                <w:sz w:val="16"/>
              </w:rPr>
              <w:t>Величина</w:t>
            </w:r>
          </w:p>
        </w:tc>
        <w:tc>
          <w:tcPr>
            <w:tcW w:type="dxa" w:w="3628"/>
            <w:shd w:val="clear" w:fill="DEEAF6"/>
          </w:tcPr>
          <w:p>
            <w:pPr>
              <w:jc w:val="center"/>
            </w:pPr>
            <w:r>
              <w:rPr>
                <w:b/>
                <w:sz w:val="16"/>
              </w:rPr>
              <w:t>Следствие</w:t>
            </w:r>
          </w:p>
        </w:tc>
      </w:tr>
      <w:tr>
        <w:tc>
          <w:tcPr>
            <w:tcW w:type="dxa" w:w="3628"/>
          </w:tcPr>
          <w:p>
            <w:r>
              <w:rPr>
                <w:sz w:val="16"/>
              </w:rPr>
              <w:t>Эффективный размер при 1 000 000 жителей</w:t>
            </w:r>
          </w:p>
        </w:tc>
        <w:tc>
          <w:tcPr>
            <w:tcW w:type="dxa" w:w="1701"/>
          </w:tcPr>
          <w:p>
            <w:pPr>
              <w:jc w:val="center"/>
            </w:pPr>
            <w:r>
              <w:rPr>
                <w:sz w:val="16"/>
              </w:rPr>
              <w:t>800 000</w:t>
            </w:r>
          </w:p>
        </w:tc>
        <w:tc>
          <w:tcPr>
            <w:tcW w:type="dxa" w:w="3628"/>
          </w:tcPr>
          <w:p>
            <w:pPr>
              <w:jc w:val="center"/>
            </w:pPr>
            <w:r>
              <w:rPr>
                <w:sz w:val="16"/>
              </w:rPr>
              <w:t>ΔF = 6,25·10⁻⁷ за поколение</w:t>
            </w:r>
          </w:p>
        </w:tc>
      </w:tr>
      <w:tr>
        <w:tc>
          <w:tcPr>
            <w:tcW w:type="dxa" w:w="3628"/>
          </w:tcPr>
          <w:p>
            <w:r>
              <w:rPr>
                <w:sz w:val="16"/>
              </w:rPr>
              <w:t>Накопление инбридинга за 200 лет</w:t>
            </w:r>
          </w:p>
        </w:tc>
        <w:tc>
          <w:tcPr>
            <w:tcW w:type="dxa" w:w="1701"/>
          </w:tcPr>
          <w:p>
            <w:pPr>
              <w:jc w:val="center"/>
            </w:pPr>
            <w:r>
              <w:rPr>
                <w:sz w:val="16"/>
              </w:rPr>
              <w:t>0,00045 %</w:t>
            </w:r>
          </w:p>
        </w:tc>
        <w:tc>
          <w:tcPr>
            <w:tcW w:type="dxa" w:w="3628"/>
          </w:tcPr>
          <w:p>
            <w:pPr>
              <w:jc w:val="center"/>
            </w:pPr>
            <w:r>
              <w:rPr>
                <w:sz w:val="16"/>
              </w:rPr>
              <w:t>Ниже любого измеримого порога</w:t>
            </w:r>
          </w:p>
        </w:tc>
      </w:tr>
      <w:tr>
        <w:tc>
          <w:tcPr>
            <w:tcW w:type="dxa" w:w="3628"/>
          </w:tcPr>
          <w:p>
            <w:r>
              <w:rPr>
                <w:sz w:val="16"/>
              </w:rPr>
              <w:t>Порог ΔF ≤ 0,1 % за поколение</w:t>
            </w:r>
          </w:p>
        </w:tc>
        <w:tc>
          <w:tcPr>
            <w:tcW w:type="dxa" w:w="1701"/>
          </w:tcPr>
          <w:p>
            <w:pPr>
              <w:jc w:val="center"/>
            </w:pPr>
            <w:r>
              <w:rPr>
                <w:sz w:val="16"/>
              </w:rPr>
              <w:t>Nₑ ≥ 500</w:t>
            </w:r>
          </w:p>
        </w:tc>
        <w:tc>
          <w:tcPr>
            <w:tcW w:type="dxa" w:w="3628"/>
          </w:tcPr>
          <w:p>
            <w:pPr>
              <w:jc w:val="center"/>
            </w:pPr>
            <w:r>
              <w:rPr>
                <w:sz w:val="16"/>
              </w:rPr>
              <w:t>Требование к основателям</w:t>
            </w:r>
          </w:p>
        </w:tc>
      </w:tr>
      <w:tr>
        <w:tc>
          <w:tcPr>
            <w:tcW w:type="dxa" w:w="3628"/>
          </w:tcPr>
          <w:p>
            <w:r>
              <w:rPr>
                <w:sz w:val="16"/>
              </w:rPr>
              <w:t>Рекомендуемые основатели</w:t>
            </w:r>
          </w:p>
        </w:tc>
        <w:tc>
          <w:tcPr>
            <w:tcW w:type="dxa" w:w="1701"/>
          </w:tcPr>
          <w:p>
            <w:pPr>
              <w:jc w:val="center"/>
            </w:pPr>
            <w:r>
              <w:rPr>
                <w:sz w:val="16"/>
              </w:rPr>
              <w:t>5 000</w:t>
            </w:r>
          </w:p>
        </w:tc>
        <w:tc>
          <w:tcPr>
            <w:tcW w:type="dxa" w:w="3628"/>
          </w:tcPr>
          <w:p>
            <w:pPr>
              <w:jc w:val="center"/>
            </w:pPr>
            <w:r>
              <w:rPr>
                <w:sz w:val="16"/>
              </w:rPr>
              <w:t>ΔF = 1·10⁻⁴, F за 200 лет = 0,0714 %</w:t>
            </w:r>
          </w:p>
        </w:tc>
      </w:tr>
      <w:tr>
        <w:tc>
          <w:tcPr>
            <w:tcW w:type="dxa" w:w="3628"/>
          </w:tcPr>
          <w:p>
            <w:r>
              <w:rPr>
                <w:sz w:val="16"/>
              </w:rPr>
              <w:t>Пересмотренное правило (100/1000)</w:t>
            </w:r>
          </w:p>
        </w:tc>
        <w:tc>
          <w:tcPr>
            <w:tcW w:type="dxa" w:w="1701"/>
          </w:tcPr>
          <w:p>
            <w:pPr>
              <w:jc w:val="center"/>
            </w:pPr>
            <w:r>
              <w:rPr>
                <w:sz w:val="16"/>
              </w:rPr>
              <w:t>Nₑ ≥ 1 000</w:t>
            </w:r>
          </w:p>
        </w:tc>
        <w:tc>
          <w:tcPr>
            <w:tcW w:type="dxa" w:w="3628"/>
          </w:tcPr>
          <w:p>
            <w:pPr>
              <w:jc w:val="center"/>
            </w:pPr>
            <w:r>
              <w:rPr>
                <w:sz w:val="16"/>
              </w:rPr>
              <w:t>Рекомендация основателей покрывает с запасом</w:t>
            </w:r>
          </w:p>
        </w:tc>
      </w:tr>
      <w:tr>
        <w:tc>
          <w:tcPr>
            <w:tcW w:type="dxa" w:w="3628"/>
          </w:tcPr>
          <w:p>
            <w:r>
              <w:rPr>
                <w:sz w:val="16"/>
              </w:rPr>
              <w:t>Банк гамет от доноров</w:t>
            </w:r>
          </w:p>
        </w:tc>
        <w:tc>
          <w:tcPr>
            <w:tcW w:type="dxa" w:w="1701"/>
          </w:tcPr>
          <w:p>
            <w:pPr>
              <w:jc w:val="center"/>
            </w:pPr>
            <w:r>
              <w:rPr>
                <w:sz w:val="16"/>
              </w:rPr>
              <w:t>10 000</w:t>
            </w:r>
          </w:p>
        </w:tc>
        <w:tc>
          <w:tcPr>
            <w:tcW w:type="dxa" w:w="3628"/>
          </w:tcPr>
          <w:p>
            <w:pPr>
              <w:jc w:val="center"/>
            </w:pPr>
            <w:r>
              <w:rPr>
                <w:sz w:val="16"/>
              </w:rPr>
              <w:t>Nₑ = 5 000, ΔF = 1·10⁻⁴</w:t>
            </w:r>
          </w:p>
        </w:tc>
      </w:tr>
    </w:tbl>
    <w:p>
      <w:r>
        <w:t>Проектное требование: начальный контингент заселения составляет не менее 5 000 человек при уравновешенном половом составе и не менее чем 200 несвязанных между собой семейных линий. Величина превышает пересмотренный порог 100/1000 впятеро и выбрана с запасом на неравномерность вклада отдельных семей.</w:t>
      </w:r>
    </w:p>
    <w:p>
      <w:pPr>
        <w:pStyle w:val="Heading2"/>
      </w:pPr>
      <w:r>
        <w:t>28.4. Кровнородственные браки</w:t>
      </w:r>
    </w:p>
    <w:p>
      <w:r>
        <w:t>При установившемся эффективном размере 800 000 инбридинг накапливается медленно, и главным источником родственных браков становится не случайность, а правило подбора пары. Коэффициент инбридинга потомства определяется степенью родства родителей: двоюродные сибсы дают 6,25 %, троюродные — 1,5625 %, четвероюродные — 0,39 %.</w:t>
      </w:r>
    </w:p>
    <w:p>
      <w:r>
        <w:t>Принимается допустимый вклад кровнородственных браков в средний коэффициент поколения — 0,01 %. При этом пороге троюродные сибсы допустимы в доле до 0,64 % браков, а двоюродные — лишь до 0,16 %. Практическое правило: подбор пары ограничивается четвёртой степенью родства; браки между троюродными сибсами допускаются как редкое исключение с учётом коэффициента родства, а браки между двоюродными сибсами — запрещены.</w:t>
      </w:r>
    </w:p>
    <w:p>
      <w:pPr>
        <w:pStyle w:val="Heading2"/>
      </w:pPr>
      <w:r>
        <w:t>28.5. Два цилиндра: одна популяция или две</w:t>
      </w:r>
    </w:p>
    <w:p>
      <w:r>
        <w:t>Цилиндры связаны только по осям (п. 4.11), и это создаёт соблазн считать их двумя независимыми генетическими пулами. Расчёт островной модели показывает, что дифференциация между субпопуляциями обратно пропорциональна произведению эффективного размера на долю обмена родителями. При обмене 1 % родителей за поколение индекс фиксации составляет 6,25·10⁻⁵. Для того чтобы дифференциация достигла хотя бы 0,01, достаточно обмена 0,0062 %.</w:t>
      </w:r>
    </w:p>
    <w:p>
      <w:r>
        <w:t>Вывод: генетически станция — одна популяция, а не две. Разделение цилиндров не создаёт изоляции при любой реальной интенсивности сообщения. Тем не менее административно целесообразно поддерживать обмен на уровне не ниже 1 % родителей за поколение, что составляет порядка 140 браков в поколение, — запас на случай неравномерности расселения.</w:t>
      </w:r>
    </w:p>
    <w:p>
      <w:pPr>
        <w:pStyle w:val="Heading2"/>
      </w:pPr>
      <w:r>
        <w:t>28.6. Генетический груз</w:t>
      </w:r>
    </w:p>
    <w:p>
      <w:r>
        <w:t>Каждый человек несёт около 1,5 летальных эквивалента — рецессивных вредных аллелей, скрытых в гетерозиготном состоянии. Инбридинг переводит их в гомозиготу. При инбредной депрессии порядка 1,5 летальных эквивалента рост коэффициента инбридинга на 1 % добавляет около 0,015 эквивалента, а на 10 % — около 0,15. Величина при проектном темпе незначима; она становится существенной только при нарушении правил подбора пары, что и определяет характер требования.</w:t>
      </w:r>
    </w:p>
    <w:p>
      <w:pPr>
        <w:pStyle w:val="Heading2"/>
      </w:pPr>
      <w:r>
        <w:t>28.7. Банк гамет и эмбрионов</w:t>
      </w:r>
    </w:p>
    <w:p>
      <w:r>
        <w:t>Криогенный банк от 10 000 доноров даёт эффективный размер 5 000 и прирост инбридинга 1·10⁻⁴ за поколение — тот же порядок, что и у начального контингента. Банк выполняет две задачи: страхует от потери семейных линий при аварии или эпидемии и позволяет вводить в популяцию линии, утраченные по демографическим причинам.</w:t>
      </w:r>
    </w:p>
    <w:p>
      <w:pPr>
        <w:pStyle w:val="Heading2"/>
      </w:pPr>
      <w:r>
        <w:t>28.8. Проектные положения</w:t>
      </w:r>
    </w:p>
    <w:p>
      <w:pPr>
        <w:pStyle w:val="ListBullet"/>
      </w:pPr>
      <w:r>
        <w:t>Начальный контингент заселения — не менее 5 000 человек, не менее 200 несвязанных семейных линий, уравновешенный половой состав.</w:t>
      </w:r>
    </w:p>
    <w:p>
      <w:pPr>
        <w:pStyle w:val="ListBullet"/>
      </w:pPr>
      <w:r>
        <w:t>Подбор пары ограничивается четвёртой степенью родства; двоюродные сибсы — запрещённая степень.</w:t>
      </w:r>
    </w:p>
    <w:p>
      <w:pPr>
        <w:pStyle w:val="ListBullet"/>
      </w:pPr>
      <w:r>
        <w:t>Ведётся реестр родства с коэффициентом родства для каждой пары; допустимый вклад кровных браков в средний F поколения — 0,01 %.</w:t>
      </w:r>
    </w:p>
    <w:p>
      <w:pPr>
        <w:pStyle w:val="ListBullet"/>
      </w:pPr>
      <w:r>
        <w:t>Обмен родителями между цилиндрами — не менее 1 % за поколение (порядка 140 браков).</w:t>
      </w:r>
    </w:p>
    <w:p>
      <w:pPr>
        <w:pStyle w:val="ListBullet"/>
      </w:pPr>
      <w:r>
        <w:t>Криогенный банк гамет и эмбрионов от не менее 10 000 доноров, с пополнением не реже одного раза в поколение.</w:t>
      </w:r>
    </w:p>
    <w:p>
      <w:pPr>
        <w:pStyle w:val="ListBullet"/>
      </w:pPr>
      <w:r>
        <w:t>Периодический контроль: оценка эффективного размера и коэффициента инбридинга не реже одного раза в поколение.</w:t>
      </w:r>
    </w:p>
    <w:p>
      <w:pPr>
        <w:spacing w:before="200"/>
        <w:jc w:val="center"/>
      </w:pPr>
      <w:r>
        <w:rPr>
          <w:b/>
          <w:color w:val="2E5496"/>
          <w:sz w:val="17"/>
        </w:rPr>
        <w:t>ENGLISH EDITION</w:t>
      </w:r>
    </w:p>
    <w:p>
      <w:pPr>
        <w:pStyle w:val="Heading1"/>
        <w:pageBreakBefore/>
      </w:pPr>
      <w:r>
        <w:t>28. GENETICS OF A CLOSED POPULATION</w:t>
      </w:r>
    </w:p>
    <w:p>
      <w:r>
        <w:t>The demographic calculation of item 11.4 operates with head count: 1,000,000 people, 500,000 per cylinder, a birth rate coefficient of 2.1, an upper bound of 1.2 million and a lower bound of 0.6 million. Head count is thereby treated as secured. The present section answers a question the work did not pose: does a closed population retain genetic diversity over a 200-year horizon, or do all station inhabitants end the century as relatives.</w:t>
      </w:r>
    </w:p>
    <w:p>
      <w:pPr>
        <w:pStyle w:val="Heading2"/>
      </w:pPr>
      <w:r>
        <w:t>28.1. Why head count is not enough</w:t>
      </w:r>
    </w:p>
    <w:p>
      <w:r>
        <w:t>The genetic fate of a population is governed not by the number living but by the effective size — the number actually leaving descendants. There is a gap between the two: for equal head counts the effective size is smaller every time reproductive success is distributed unevenly. In humans the variance of surviving offspring exceeds the Poisson value, so at a head count of 1,000,000 the effective size is on the order of 800,000.</w:t>
      </w:r>
    </w:p>
    <w:p>
      <w:pPr>
        <w:pStyle w:val="Heading2"/>
      </w:pPr>
      <w:r>
        <w:t>28.2. Effective size and rate of inbreeding</w:t>
      </w:r>
    </w:p>
    <w:p>
      <w:r>
        <w:t>The per-generation rise in the inbreeding coefficient is inversely proportional to twice the effective size. At an effective size of 800,000 the rise is 6.25·10⁻⁷ per generation. The generation is taken as 28 years — mean age of parents at a child’s birth; a 200-year horizon is therefore 7.14 generations. Accumulation over the full service life gives 0.00045 % — a quantity that cannot be measured.</w:t>
      </w:r>
    </w:p>
    <w:p>
      <w:pPr>
        <w:pStyle w:val="Heading2"/>
      </w:pPr>
      <w:r>
        <w:t>28.3. Requirement on the founders</w:t>
      </w:r>
    </w:p>
    <w:p>
      <w:r>
        <w:t>The rate of rise at an established head count is not the binding constraint. The binding constraint is the founding event: the genetic composition of the founders is fixed forever, and everything after is drift around that composition. Conservation biology applies the 50/500 rule: an effective size not below 50 averts immediate inbreeding depression, not below 500 retains evolutionary potential. A later review recommends doubling both thresholds — to 100 and 1000.</w:t>
      </w:r>
    </w:p>
    <w:p>
      <w:pPr>
        <w:pStyle w:val="Caption"/>
        <w:jc w:val="center"/>
      </w:pPr>
      <w:r>
        <w:t>Table 28.1 — Genetic parameters of a closed population</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628"/>
            <w:shd w:val="clear" w:fill="DEEAF6"/>
          </w:tcPr>
          <w:p>
            <w:pPr>
              <w:jc w:val="center"/>
            </w:pPr>
            <w:r>
              <w:rPr>
                <w:b/>
                <w:sz w:val="16"/>
              </w:rPr>
              <w:t>Quantity</w:t>
            </w:r>
          </w:p>
        </w:tc>
        <w:tc>
          <w:tcPr>
            <w:tcW w:type="dxa" w:w="1701"/>
            <w:shd w:val="clear" w:fill="DEEAF6"/>
          </w:tcPr>
          <w:p>
            <w:pPr>
              <w:jc w:val="center"/>
            </w:pPr>
            <w:r>
              <w:rPr>
                <w:b/>
                <w:sz w:val="16"/>
              </w:rPr>
              <w:t>Value</w:t>
            </w:r>
          </w:p>
        </w:tc>
        <w:tc>
          <w:tcPr>
            <w:tcW w:type="dxa" w:w="3628"/>
            <w:shd w:val="clear" w:fill="DEEAF6"/>
          </w:tcPr>
          <w:p>
            <w:pPr>
              <w:jc w:val="center"/>
            </w:pPr>
            <w:r>
              <w:rPr>
                <w:b/>
                <w:sz w:val="16"/>
              </w:rPr>
              <w:t>Consequence</w:t>
            </w:r>
          </w:p>
        </w:tc>
      </w:tr>
      <w:tr>
        <w:tc>
          <w:tcPr>
            <w:tcW w:type="dxa" w:w="3628"/>
          </w:tcPr>
          <w:p>
            <w:r>
              <w:rPr>
                <w:sz w:val="16"/>
              </w:rPr>
              <w:t>Effective size at 1,000,000 inhabitants</w:t>
            </w:r>
          </w:p>
        </w:tc>
        <w:tc>
          <w:tcPr>
            <w:tcW w:type="dxa" w:w="1701"/>
          </w:tcPr>
          <w:p>
            <w:pPr>
              <w:jc w:val="center"/>
            </w:pPr>
            <w:r>
              <w:rPr>
                <w:sz w:val="16"/>
              </w:rPr>
              <w:t>800,000</w:t>
            </w:r>
          </w:p>
        </w:tc>
        <w:tc>
          <w:tcPr>
            <w:tcW w:type="dxa" w:w="3628"/>
          </w:tcPr>
          <w:p>
            <w:pPr>
              <w:jc w:val="center"/>
            </w:pPr>
            <w:r>
              <w:rPr>
                <w:sz w:val="16"/>
              </w:rPr>
              <w:t>ΔF = 6.25·10⁻⁷ per generation</w:t>
            </w:r>
          </w:p>
        </w:tc>
      </w:tr>
      <w:tr>
        <w:tc>
          <w:tcPr>
            <w:tcW w:type="dxa" w:w="3628"/>
          </w:tcPr>
          <w:p>
            <w:r>
              <w:rPr>
                <w:sz w:val="16"/>
              </w:rPr>
              <w:t>Inbreeding accumulated over 200 years</w:t>
            </w:r>
          </w:p>
        </w:tc>
        <w:tc>
          <w:tcPr>
            <w:tcW w:type="dxa" w:w="1701"/>
          </w:tcPr>
          <w:p>
            <w:pPr>
              <w:jc w:val="center"/>
            </w:pPr>
            <w:r>
              <w:rPr>
                <w:sz w:val="16"/>
              </w:rPr>
              <w:t>0.00045 %</w:t>
            </w:r>
          </w:p>
        </w:tc>
        <w:tc>
          <w:tcPr>
            <w:tcW w:type="dxa" w:w="3628"/>
          </w:tcPr>
          <w:p>
            <w:pPr>
              <w:jc w:val="center"/>
            </w:pPr>
            <w:r>
              <w:rPr>
                <w:sz w:val="16"/>
              </w:rPr>
              <w:t>Below any measurable threshold</w:t>
            </w:r>
          </w:p>
        </w:tc>
      </w:tr>
      <w:tr>
        <w:tc>
          <w:tcPr>
            <w:tcW w:type="dxa" w:w="3628"/>
          </w:tcPr>
          <w:p>
            <w:r>
              <w:rPr>
                <w:sz w:val="16"/>
              </w:rPr>
              <w:t>Threshold ΔF ≤ 0.1 % per generation</w:t>
            </w:r>
          </w:p>
        </w:tc>
        <w:tc>
          <w:tcPr>
            <w:tcW w:type="dxa" w:w="1701"/>
          </w:tcPr>
          <w:p>
            <w:pPr>
              <w:jc w:val="center"/>
            </w:pPr>
            <w:r>
              <w:rPr>
                <w:sz w:val="16"/>
              </w:rPr>
              <w:t>Ne ≥ 500</w:t>
            </w:r>
          </w:p>
        </w:tc>
        <w:tc>
          <w:tcPr>
            <w:tcW w:type="dxa" w:w="3628"/>
          </w:tcPr>
          <w:p>
            <w:pPr>
              <w:jc w:val="center"/>
            </w:pPr>
            <w:r>
              <w:rPr>
                <w:sz w:val="16"/>
              </w:rPr>
              <w:t>Requirement on founders</w:t>
            </w:r>
          </w:p>
        </w:tc>
      </w:tr>
      <w:tr>
        <w:tc>
          <w:tcPr>
            <w:tcW w:type="dxa" w:w="3628"/>
          </w:tcPr>
          <w:p>
            <w:r>
              <w:rPr>
                <w:sz w:val="16"/>
              </w:rPr>
              <w:t>Recommended founders</w:t>
            </w:r>
          </w:p>
        </w:tc>
        <w:tc>
          <w:tcPr>
            <w:tcW w:type="dxa" w:w="1701"/>
          </w:tcPr>
          <w:p>
            <w:pPr>
              <w:jc w:val="center"/>
            </w:pPr>
            <w:r>
              <w:rPr>
                <w:sz w:val="16"/>
              </w:rPr>
              <w:t>5,000</w:t>
            </w:r>
          </w:p>
        </w:tc>
        <w:tc>
          <w:tcPr>
            <w:tcW w:type="dxa" w:w="3628"/>
          </w:tcPr>
          <w:p>
            <w:pPr>
              <w:jc w:val="center"/>
            </w:pPr>
            <w:r>
              <w:rPr>
                <w:sz w:val="16"/>
              </w:rPr>
              <w:t>ΔF = 1·10⁻⁴, F over 200 years = 0.0714 %</w:t>
            </w:r>
          </w:p>
        </w:tc>
      </w:tr>
      <w:tr>
        <w:tc>
          <w:tcPr>
            <w:tcW w:type="dxa" w:w="3628"/>
          </w:tcPr>
          <w:p>
            <w:r>
              <w:rPr>
                <w:sz w:val="16"/>
              </w:rPr>
              <w:t>Revised rule (100/1000)</w:t>
            </w:r>
          </w:p>
        </w:tc>
        <w:tc>
          <w:tcPr>
            <w:tcW w:type="dxa" w:w="1701"/>
          </w:tcPr>
          <w:p>
            <w:pPr>
              <w:jc w:val="center"/>
            </w:pPr>
            <w:r>
              <w:rPr>
                <w:sz w:val="16"/>
              </w:rPr>
              <w:t>Ne ≥ 1,000</w:t>
            </w:r>
          </w:p>
        </w:tc>
        <w:tc>
          <w:tcPr>
            <w:tcW w:type="dxa" w:w="3628"/>
          </w:tcPr>
          <w:p>
            <w:pPr>
              <w:jc w:val="center"/>
            </w:pPr>
            <w:r>
              <w:rPr>
                <w:sz w:val="16"/>
              </w:rPr>
              <w:t>Founder recommendation covers it fivefold</w:t>
            </w:r>
          </w:p>
        </w:tc>
      </w:tr>
      <w:tr>
        <w:tc>
          <w:tcPr>
            <w:tcW w:type="dxa" w:w="3628"/>
          </w:tcPr>
          <w:p>
            <w:r>
              <w:rPr>
                <w:sz w:val="16"/>
              </w:rPr>
              <w:t>Gamete bank donors</w:t>
            </w:r>
          </w:p>
        </w:tc>
        <w:tc>
          <w:tcPr>
            <w:tcW w:type="dxa" w:w="1701"/>
          </w:tcPr>
          <w:p>
            <w:pPr>
              <w:jc w:val="center"/>
            </w:pPr>
            <w:r>
              <w:rPr>
                <w:sz w:val="16"/>
              </w:rPr>
              <w:t>10,000</w:t>
            </w:r>
          </w:p>
        </w:tc>
        <w:tc>
          <w:tcPr>
            <w:tcW w:type="dxa" w:w="3628"/>
          </w:tcPr>
          <w:p>
            <w:pPr>
              <w:jc w:val="center"/>
            </w:pPr>
            <w:r>
              <w:rPr>
                <w:sz w:val="16"/>
              </w:rPr>
              <w:t>Ne = 5,000, ΔF = 1·10⁻⁴</w:t>
            </w:r>
          </w:p>
        </w:tc>
      </w:tr>
    </w:tbl>
    <w:p>
      <w:r>
        <w:t>Design requirement: the initial settlement contingent is not less than 5,000 persons with a balanced sex ratio and not fewer than 200 unrelated family lines. The figure exceeds the revised 100/1000 threshold fivefold and is chosen with margin for the uneven contribution of individual families.</w:t>
      </w:r>
    </w:p>
    <w:p>
      <w:pPr>
        <w:pStyle w:val="Heading2"/>
      </w:pPr>
      <w:r>
        <w:t>28.4. Consanguineous marriages</w:t>
      </w:r>
    </w:p>
    <w:p>
      <w:r>
        <w:t>At an established effective size of 800,000 inbreeding accumulates slowly, and the main source of consanguineous marriages is not chance but the mate-selection rule. The inbreeding coefficient of offspring is set by the degree of relationship of the parents: first cousins give 6.25 %, second cousins 1.5625 %, third cousins 0.39 %.</w:t>
      </w:r>
    </w:p>
    <w:p>
      <w:r>
        <w:t>The admissible contribution of consanguineous marriages to the mean coefficient per generation is taken as 0.01 %. At that threshold second-cousin sibs are admissible up to 0.64 % of marriages, first cousins only up to 0.16 %. Practical rule: mate selection is limited to the fourth degree of relationship; second-cousin sibs are admissible as a rare exception weighted by the kinship coefficient, first-cousin sibs are forbidden.</w:t>
      </w:r>
    </w:p>
    <w:p>
      <w:pPr>
        <w:pStyle w:val="Heading2"/>
      </w:pPr>
      <w:r>
        <w:t>28.5. Two cylinders: one population or two</w:t>
      </w:r>
    </w:p>
    <w:p>
      <w:r>
        <w:t>The cylinders are linked only along their axes (item 4.11), and this creates the temptation to treat them as two independent gene pools. An island-model calculation shows differentiation between subpopulations is inversely proportional to the product of effective size and the share of exchanged parents. At an exchange of 1 % of parents per generation the fixation index is 6.25·10⁻⁵. For differentiation to reach even 0.01, an exchange of 0.0062 % suffices.</w:t>
      </w:r>
    </w:p>
    <w:p>
      <w:r>
        <w:t>Conclusion: genetically the station is one population, not two. The separation of the cylinders creates no isolation at any realistic intensity of communication. Nevertheless it is administratively advisable to maintain exchange at not less than 1 % of parents per generation — about 140 marriages per generation — as a margin against uneven settlement.</w:t>
      </w:r>
    </w:p>
    <w:p>
      <w:pPr>
        <w:pStyle w:val="Heading2"/>
      </w:pPr>
      <w:r>
        <w:t>28.6. Genetic load</w:t>
      </w:r>
    </w:p>
    <w:p>
      <w:r>
        <w:t>Every person carries about 1.5 lethal equivalents — recessive deleterious alleles hidden in heterozygous state. Inbreeding converts them to homozygosity. With inbreeding depression on the order of 1.5 lethal equivalents, a 1 % rise in the inbreeding coefficient adds about 0.015 equivalents, and a 10 % rise about 0.15. The quantity is insignificant at the design rate; it becomes material only when the mate-selection rule is violated, which determines the character of the requirement.</w:t>
      </w:r>
    </w:p>
    <w:p>
      <w:pPr>
        <w:pStyle w:val="Heading2"/>
      </w:pPr>
      <w:r>
        <w:t>28.7. Gamete and embryo bank</w:t>
      </w:r>
    </w:p>
    <w:p>
      <w:r>
        <w:t>A cryogenic bank of 10,000 donors gives an effective size of 5,000 and an inbreeding rise of 1·10⁻⁴ per generation — the same order as the initial contingent. The bank serves two purposes: it insures against loss of family lines through accident or epidemic, and it allows lines lost to demographic causes to be reintroduced.</w:t>
      </w:r>
    </w:p>
    <w:p>
      <w:pPr>
        <w:pStyle w:val="Heading2"/>
      </w:pPr>
      <w:r>
        <w:t>28.8. Design requirements</w:t>
      </w:r>
    </w:p>
    <w:p>
      <w:pPr>
        <w:pStyle w:val="ListBullet"/>
      </w:pPr>
      <w:r>
        <w:t>Initial settlement contingent — not less than 5,000 persons, not fewer than 200 unrelated family lines, balanced sex ratio.</w:t>
      </w:r>
    </w:p>
    <w:p>
      <w:pPr>
        <w:pStyle w:val="ListBullet"/>
      </w:pPr>
      <w:r>
        <w:t>Mate selection limited to the fourth degree of relationship; first-cousin sibs are a forbidden degree.</w:t>
      </w:r>
    </w:p>
    <w:p>
      <w:pPr>
        <w:pStyle w:val="ListBullet"/>
      </w:pPr>
      <w:r>
        <w:t>A kinship register is maintained with a kinship coefficient for each pair; admissible contribution of consanguineous marriages to the mean F per generation — 0.01 %.</w:t>
      </w:r>
    </w:p>
    <w:p>
      <w:pPr>
        <w:pStyle w:val="ListBullet"/>
      </w:pPr>
      <w:r>
        <w:t>Parent exchange between cylinders — not less than 1 % per generation (about 140 marriages).</w:t>
      </w:r>
    </w:p>
    <w:p>
      <w:pPr>
        <w:pStyle w:val="ListBullet"/>
      </w:pPr>
      <w:r>
        <w:t>Cryogenic bank of gametes and embryos from not fewer than 10,000 donors, replenished not rarer than once per generation.</w:t>
      </w:r>
    </w:p>
    <w:p>
      <w:pPr>
        <w:pStyle w:val="ListBullet"/>
      </w:pPr>
      <w:r>
        <w:t>Periodic control: assessment of effective size and inbreeding coefficient not rarer than once per generation.</w:t>
      </w:r>
    </w:p>
    <w:p/>
    <w:p>
      <w:pPr>
        <w:spacing w:before="200"/>
        <w:jc w:val="center"/>
      </w:pPr>
      <w:r>
        <w:rPr>
          <w:b/>
          <w:color w:val="2E5496"/>
          <w:sz w:val="17"/>
        </w:rPr>
        <w:t>СПИСОК ЛИТЕРАТУРЫ РАЗДЕЛА / REFERENCES OF THIS SECTION</w:t>
      </w:r>
    </w:p>
    <w:p>
      <w:pPr>
        <w:ind w:left="340" w:hanging="340"/>
      </w:pPr>
      <w:r>
        <w:rPr>
          <w:sz w:val="18"/>
        </w:rPr>
        <w:t>1. Franklin I. R. Evolutionary change in small populations // Conservation Biology: An Evolutionary-Ecological Perspective / eds. M. E. Soulé, B. A. Wilcox. Sunderland: Sinauer, 1980. P. 135–149.</w:t>
      </w:r>
    </w:p>
    <w:p>
      <w:pPr>
        <w:ind w:left="340" w:hanging="340"/>
      </w:pPr>
      <w:r>
        <w:rPr>
          <w:sz w:val="18"/>
        </w:rPr>
        <w:t>1. Franklin I. R. Evolutionary change in small populations // Conservation Biology: An Evolutionary-Ecological Perspective / eds. M. E. Soulé, B. A. Wilcox. Sunderland: Sinauer, 1980. P. 135–149.</w:t>
      </w:r>
    </w:p>
    <w:p>
      <w:pPr>
        <w:ind w:left="340" w:hanging="340"/>
      </w:pPr>
      <w:r>
        <w:rPr>
          <w:sz w:val="18"/>
        </w:rPr>
        <w:t>2. Soulé M. E. Thresholds for survival: maintaining fitness and evolutionary potential // Conservation Biology: An Evolutionary-Ecological Perspective / eds. M. E. Soulé, B. A. Wilcox. Sunderland: Sinauer, 1980. P. 151–169.</w:t>
      </w:r>
    </w:p>
    <w:p>
      <w:pPr>
        <w:ind w:left="340" w:hanging="340"/>
      </w:pPr>
      <w:r>
        <w:rPr>
          <w:sz w:val="18"/>
        </w:rPr>
        <w:t>2. Soulé M. E. Thresholds for survival: maintaining fitness and evolutionary potential // Conservation Biology: An Evolutionary-Ecological Perspective / eds. M. E. Soulé, B. A. Wilcox. Sunderland: Sinauer, 1980. P. 151–169.</w:t>
      </w:r>
    </w:p>
    <w:p>
      <w:pPr>
        <w:ind w:left="340" w:hanging="340"/>
      </w:pPr>
      <w:r>
        <w:rPr>
          <w:sz w:val="18"/>
        </w:rPr>
        <w:t>3. Frankham K., Bradshaw C. J. A., Brook B. W. Genetics in conservation management: revised recommendations for the 50/500 rules, Red List criteria and population viability analyses // Biological Conservation. 2014. Vol. 170. P. 56–63.</w:t>
      </w:r>
    </w:p>
    <w:p>
      <w:pPr>
        <w:ind w:left="340" w:hanging="340"/>
      </w:pPr>
      <w:r>
        <w:rPr>
          <w:sz w:val="18"/>
        </w:rPr>
        <w:t>3. Frankham K., Bradshaw C. J. A., Brook B. W. Genetics in conservation management: revised recommendations for the 50/500 rules, Red List criteria and population viability analyses // Biological Conservation. 2014. Vol. 170. P. 56–63.</w:t>
      </w:r>
    </w:p>
    <w:p>
      <w:r>
        <w:rPr>
          <w:b/>
          <w:sz w:val="18"/>
        </w:rPr>
        <w:t>Кроме того, раздел опирается на собственные допущения публикации:</w:t>
      </w:r>
    </w:p>
    <w:p>
      <w:pPr>
        <w:ind w:left="340" w:hanging="340"/>
      </w:pPr>
      <w:r>
        <w:rPr>
          <w:sz w:val="18"/>
        </w:rPr>
        <w:t>· Биосфера: балансы газов, воды и продовольствия являются системной моделью и набором допущений.</w:t>
      </w:r>
    </w:p>
    <w:p>
      <w:pPr>
        <w:ind w:left="340" w:hanging="340"/>
      </w:pPr>
      <w:r>
        <w:rPr>
          <w:sz w:val="18"/>
        </w:rPr>
        <w:t>· Biosphere: gas, water and food balances are a system model and a set of assumptions.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