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30 / Section 30</w:t>
      </w:r>
    </w:p>
    <w:p>
      <w:pPr>
        <w:jc w:val="center"/>
      </w:pPr>
      <w:r>
        <w:rPr>
          <w:b/>
          <w:color w:val="1F3864"/>
          <w:sz w:val="26"/>
        </w:rPr>
        <w:t>30. ПРОМЫШЛЕННОСТЬ, ДОБЫЧА, ПЕРЕРАБОТКА И ОТХОДЫ ПРОИЗВОДСТВА</w:t>
      </w:r>
    </w:p>
    <w:p>
      <w:pPr>
        <w:jc w:val="center"/>
      </w:pPr>
      <w:r>
        <w:rPr>
          <w:b/>
          <w:color w:val="1F3864"/>
          <w:sz w:val="26"/>
        </w:rPr>
        <w:t>30. INDUSTRY, RESOURCE EXTRACTION, PROCESSING AND PRODUCTION WASTE</w:t>
      </w:r>
    </w:p>
    <w:p>
      <w:pPr>
        <w:jc w:val="center"/>
      </w:pPr>
      <w:r>
        <w:rPr>
          <w:i/>
          <w:sz w:val="17"/>
        </w:rPr>
        <w:t>Редакция 8 · 31 октября 2026 г.  ·  документ 32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30. ПРОМЫШЛЕННОСТЬ, ДОБЫЧА, ПЕРЕРАБОТКА И ОТХОДЫ ПРОИЗВОДСТВА</w:t>
      </w:r>
    </w:p>
    <w:p>
      <w:r>
        <w:t>Пункт 11.2 рассматривает бытовые отходы и их замыкание. Настоящий раздел рассматривает промышленный контур, который в документе не был посчитан, и показывает, что он на несколько порядков крупнее бытового.</w:t>
      </w:r>
    </w:p>
    <w:p>
      <w:pPr>
        <w:pStyle w:val="Heading2"/>
      </w:pPr>
      <w:r>
        <w:t>30.1. Бытовой контур</w:t>
      </w:r>
    </w:p>
    <w:p>
      <w:r>
        <w:t>Население 1 000 000 человек при норме 1,5 кг твёрдых отходов на человека в сутки даёт 547 500 т в год, а при норме 200 л стоков — 73 млн м³. Состав: органика около 60 %, металл и стекло около 25 %, прочее 15 %.</w:t>
      </w:r>
    </w:p>
    <w:p>
      <w:pPr>
        <w:pStyle w:val="Caption"/>
        <w:jc w:val="center"/>
      </w:pPr>
      <w:r>
        <w:t>Таблица 30.1 — Бытовой контур: состав и маршруты</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4082"/>
            <w:shd w:val="clear" w:fill="DEEAF6"/>
          </w:tcPr>
          <w:p>
            <w:pPr>
              <w:jc w:val="center"/>
            </w:pPr>
            <w:r>
              <w:rPr>
                <w:b/>
                <w:sz w:val="16"/>
              </w:rPr>
              <w:t>Поток</w:t>
            </w:r>
          </w:p>
        </w:tc>
        <w:tc>
          <w:tcPr>
            <w:tcW w:type="dxa" w:w="1928"/>
            <w:shd w:val="clear" w:fill="DEEAF6"/>
          </w:tcPr>
          <w:p>
            <w:pPr>
              <w:jc w:val="center"/>
            </w:pPr>
            <w:r>
              <w:rPr>
                <w:b/>
                <w:sz w:val="16"/>
              </w:rPr>
              <w:t>Величина, тыс. т/год</w:t>
            </w:r>
          </w:p>
        </w:tc>
        <w:tc>
          <w:tcPr>
            <w:tcW w:type="dxa" w:w="1587"/>
            <w:shd w:val="clear" w:fill="DEEAF6"/>
          </w:tcPr>
          <w:p>
            <w:pPr>
              <w:jc w:val="center"/>
            </w:pPr>
            <w:r>
              <w:rPr>
                <w:b/>
                <w:sz w:val="16"/>
              </w:rPr>
              <w:t>Доля</w:t>
            </w:r>
          </w:p>
        </w:tc>
      </w:tr>
      <w:tr>
        <w:tc>
          <w:tcPr>
            <w:tcW w:type="dxa" w:w="4082"/>
          </w:tcPr>
          <w:p>
            <w:r>
              <w:rPr>
                <w:sz w:val="16"/>
              </w:rPr>
              <w:t>Твёрдые отходы всего</w:t>
            </w:r>
          </w:p>
        </w:tc>
        <w:tc>
          <w:tcPr>
            <w:tcW w:type="dxa" w:w="1928"/>
          </w:tcPr>
          <w:p>
            <w:pPr>
              <w:jc w:val="center"/>
            </w:pPr>
            <w:r>
              <w:rPr>
                <w:sz w:val="16"/>
              </w:rPr>
              <w:t>547,5</w:t>
            </w:r>
          </w:p>
        </w:tc>
        <w:tc>
          <w:tcPr>
            <w:tcW w:type="dxa" w:w="1587"/>
          </w:tcPr>
          <w:p>
            <w:pPr>
              <w:jc w:val="center"/>
            </w:pPr>
            <w:r>
              <w:rPr>
                <w:sz w:val="16"/>
              </w:rPr>
              <w:t>100 %</w:t>
            </w:r>
          </w:p>
        </w:tc>
      </w:tr>
      <w:tr>
        <w:tc>
          <w:tcPr>
            <w:tcW w:type="dxa" w:w="4082"/>
          </w:tcPr>
          <w:p>
            <w:r>
              <w:rPr>
                <w:sz w:val="16"/>
              </w:rPr>
              <w:t xml:space="preserve">  Органическая доля</w:t>
            </w:r>
          </w:p>
        </w:tc>
        <w:tc>
          <w:tcPr>
            <w:tcW w:type="dxa" w:w="1928"/>
          </w:tcPr>
          <w:p>
            <w:pPr>
              <w:jc w:val="center"/>
            </w:pPr>
            <w:r>
              <w:rPr>
                <w:sz w:val="16"/>
              </w:rPr>
              <w:t>328,5</w:t>
            </w:r>
          </w:p>
        </w:tc>
        <w:tc>
          <w:tcPr>
            <w:tcW w:type="dxa" w:w="1587"/>
          </w:tcPr>
          <w:p>
            <w:pPr>
              <w:jc w:val="center"/>
            </w:pPr>
            <w:r>
              <w:rPr>
                <w:sz w:val="16"/>
              </w:rPr>
              <w:t>60 %</w:t>
            </w:r>
          </w:p>
        </w:tc>
      </w:tr>
      <w:tr>
        <w:tc>
          <w:tcPr>
            <w:tcW w:type="dxa" w:w="4082"/>
          </w:tcPr>
          <w:p>
            <w:r>
              <w:rPr>
                <w:sz w:val="16"/>
              </w:rPr>
              <w:t xml:space="preserve">    Компост в почву</w:t>
            </w:r>
          </w:p>
        </w:tc>
        <w:tc>
          <w:tcPr>
            <w:tcW w:type="dxa" w:w="1928"/>
          </w:tcPr>
          <w:p>
            <w:pPr>
              <w:jc w:val="center"/>
            </w:pPr>
            <w:r>
              <w:rPr>
                <w:sz w:val="16"/>
              </w:rPr>
              <w:t>180,7</w:t>
            </w:r>
          </w:p>
        </w:tc>
        <w:tc>
          <w:tcPr>
            <w:tcW w:type="dxa" w:w="1587"/>
          </w:tcPr>
          <w:p>
            <w:pPr>
              <w:jc w:val="center"/>
            </w:pPr>
            <w:r>
              <w:rPr>
                <w:sz w:val="16"/>
              </w:rPr>
              <w:t>33,0 %</w:t>
            </w:r>
          </w:p>
        </w:tc>
      </w:tr>
      <w:tr>
        <w:tc>
          <w:tcPr>
            <w:tcW w:type="dxa" w:w="4082"/>
          </w:tcPr>
          <w:p>
            <w:r>
              <w:rPr>
                <w:sz w:val="16"/>
              </w:rPr>
              <w:t xml:space="preserve">    Сырьё для чёрной львинки</w:t>
            </w:r>
          </w:p>
        </w:tc>
        <w:tc>
          <w:tcPr>
            <w:tcW w:type="dxa" w:w="1928"/>
          </w:tcPr>
          <w:p>
            <w:pPr>
              <w:jc w:val="center"/>
            </w:pPr>
            <w:r>
              <w:rPr>
                <w:sz w:val="16"/>
              </w:rPr>
              <w:t>115,0</w:t>
            </w:r>
          </w:p>
        </w:tc>
        <w:tc>
          <w:tcPr>
            <w:tcW w:type="dxa" w:w="1587"/>
          </w:tcPr>
          <w:p>
            <w:pPr>
              <w:jc w:val="center"/>
            </w:pPr>
            <w:r>
              <w:rPr>
                <w:sz w:val="16"/>
              </w:rPr>
              <w:t>21,0 %</w:t>
            </w:r>
          </w:p>
        </w:tc>
      </w:tr>
      <w:tr>
        <w:tc>
          <w:tcPr>
            <w:tcW w:type="dxa" w:w="4082"/>
          </w:tcPr>
          <w:p>
            <w:r>
              <w:rPr>
                <w:sz w:val="16"/>
              </w:rPr>
              <w:t xml:space="preserve">    Биогаз</w:t>
            </w:r>
          </w:p>
        </w:tc>
        <w:tc>
          <w:tcPr>
            <w:tcW w:type="dxa" w:w="1928"/>
          </w:tcPr>
          <w:p>
            <w:pPr>
              <w:jc w:val="center"/>
            </w:pPr>
            <w:r>
              <w:rPr>
                <w:sz w:val="16"/>
              </w:rPr>
              <w:t>32,9</w:t>
            </w:r>
          </w:p>
        </w:tc>
        <w:tc>
          <w:tcPr>
            <w:tcW w:type="dxa" w:w="1587"/>
          </w:tcPr>
          <w:p>
            <w:pPr>
              <w:jc w:val="center"/>
            </w:pPr>
            <w:r>
              <w:rPr>
                <w:sz w:val="16"/>
              </w:rPr>
              <w:t>6,0 %</w:t>
            </w:r>
          </w:p>
        </w:tc>
      </w:tr>
      <w:tr>
        <w:tc>
          <w:tcPr>
            <w:tcW w:type="dxa" w:w="4082"/>
          </w:tcPr>
          <w:p>
            <w:r>
              <w:rPr>
                <w:sz w:val="16"/>
              </w:rPr>
              <w:t xml:space="preserve">  Металл и стекло</w:t>
            </w:r>
          </w:p>
        </w:tc>
        <w:tc>
          <w:tcPr>
            <w:tcW w:type="dxa" w:w="1928"/>
          </w:tcPr>
          <w:p>
            <w:pPr>
              <w:jc w:val="center"/>
            </w:pPr>
            <w:r>
              <w:rPr>
                <w:sz w:val="16"/>
              </w:rPr>
              <w:t>136,9</w:t>
            </w:r>
          </w:p>
        </w:tc>
        <w:tc>
          <w:tcPr>
            <w:tcW w:type="dxa" w:w="1587"/>
          </w:tcPr>
          <w:p>
            <w:pPr>
              <w:jc w:val="center"/>
            </w:pPr>
            <w:r>
              <w:rPr>
                <w:sz w:val="16"/>
              </w:rPr>
              <w:t>25 %</w:t>
            </w:r>
          </w:p>
        </w:tc>
      </w:tr>
      <w:tr>
        <w:tc>
          <w:tcPr>
            <w:tcW w:type="dxa" w:w="4082"/>
          </w:tcPr>
          <w:p>
            <w:r>
              <w:rPr>
                <w:sz w:val="16"/>
              </w:rPr>
              <w:t xml:space="preserve">    Возврат металла</w:t>
            </w:r>
          </w:p>
        </w:tc>
        <w:tc>
          <w:tcPr>
            <w:tcW w:type="dxa" w:w="1928"/>
          </w:tcPr>
          <w:p>
            <w:pPr>
              <w:jc w:val="center"/>
            </w:pPr>
            <w:r>
              <w:rPr>
                <w:sz w:val="16"/>
              </w:rPr>
              <w:t>71,5</w:t>
            </w:r>
          </w:p>
        </w:tc>
        <w:tc>
          <w:tcPr>
            <w:tcW w:type="dxa" w:w="1587"/>
          </w:tcPr>
          <w:p>
            <w:pPr>
              <w:jc w:val="center"/>
            </w:pPr>
            <w:r>
              <w:rPr>
                <w:sz w:val="16"/>
              </w:rPr>
              <w:t>13,1 %</w:t>
            </w:r>
          </w:p>
        </w:tc>
      </w:tr>
      <w:tr>
        <w:tc>
          <w:tcPr>
            <w:tcW w:type="dxa" w:w="4082"/>
          </w:tcPr>
          <w:p>
            <w:r>
              <w:rPr>
                <w:sz w:val="16"/>
              </w:rPr>
              <w:t xml:space="preserve">    Возврат стекла</w:t>
            </w:r>
          </w:p>
        </w:tc>
        <w:tc>
          <w:tcPr>
            <w:tcW w:type="dxa" w:w="1928"/>
          </w:tcPr>
          <w:p>
            <w:pPr>
              <w:jc w:val="center"/>
            </w:pPr>
            <w:r>
              <w:rPr>
                <w:sz w:val="16"/>
              </w:rPr>
              <w:t>52,4</w:t>
            </w:r>
          </w:p>
        </w:tc>
        <w:tc>
          <w:tcPr>
            <w:tcW w:type="dxa" w:w="1587"/>
          </w:tcPr>
          <w:p>
            <w:pPr>
              <w:jc w:val="center"/>
            </w:pPr>
            <w:r>
              <w:rPr>
                <w:sz w:val="16"/>
              </w:rPr>
              <w:t>9,6 %</w:t>
            </w:r>
          </w:p>
        </w:tc>
      </w:tr>
      <w:tr>
        <w:tc>
          <w:tcPr>
            <w:tcW w:type="dxa" w:w="4082"/>
          </w:tcPr>
          <w:p>
            <w:r>
              <w:rPr>
                <w:sz w:val="16"/>
              </w:rPr>
              <w:t xml:space="preserve">    Не утилизировано</w:t>
            </w:r>
          </w:p>
        </w:tc>
        <w:tc>
          <w:tcPr>
            <w:tcW w:type="dxa" w:w="1928"/>
          </w:tcPr>
          <w:p>
            <w:pPr>
              <w:jc w:val="center"/>
            </w:pPr>
            <w:r>
              <w:rPr>
                <w:sz w:val="16"/>
              </w:rPr>
              <w:t>13,0</w:t>
            </w:r>
          </w:p>
        </w:tc>
        <w:tc>
          <w:tcPr>
            <w:tcW w:type="dxa" w:w="1587"/>
          </w:tcPr>
          <w:p>
            <w:pPr>
              <w:jc w:val="center"/>
            </w:pPr>
            <w:r>
              <w:rPr>
                <w:sz w:val="16"/>
              </w:rPr>
              <w:t>2,4 %</w:t>
            </w:r>
          </w:p>
        </w:tc>
      </w:tr>
      <w:tr>
        <w:tc>
          <w:tcPr>
            <w:tcW w:type="dxa" w:w="4082"/>
          </w:tcPr>
          <w:p>
            <w:r>
              <w:rPr>
                <w:sz w:val="16"/>
              </w:rPr>
              <w:t xml:space="preserve">  Прочее (маршрута утилизации нет)</w:t>
            </w:r>
          </w:p>
        </w:tc>
        <w:tc>
          <w:tcPr>
            <w:tcW w:type="dxa" w:w="1928"/>
          </w:tcPr>
          <w:p>
            <w:pPr>
              <w:jc w:val="center"/>
            </w:pPr>
            <w:r>
              <w:rPr>
                <w:sz w:val="16"/>
              </w:rPr>
              <w:t>82,1</w:t>
            </w:r>
          </w:p>
        </w:tc>
        <w:tc>
          <w:tcPr>
            <w:tcW w:type="dxa" w:w="1587"/>
          </w:tcPr>
          <w:p>
            <w:pPr>
              <w:jc w:val="center"/>
            </w:pPr>
            <w:r>
              <w:rPr>
                <w:sz w:val="16"/>
              </w:rPr>
              <w:t>15,0 %</w:t>
            </w:r>
          </w:p>
        </w:tc>
      </w:tr>
    </w:tbl>
    <w:p>
      <w:r>
        <w:t>Материальное замыкание бытового контура составляет 76,6 %: 419,6 тыс. т/год возвращаются в почву, на корм или в переплавку. Незамкнутый остаток 127,9 тыс. т/год складывается из трёх частей: 82,1 тыс. т — фракция «прочее» без маршрута утилизации, 13,0 тыс. т — не утилизированный металл и стекло и 32,9 тыс. т — биогаз, уходящий в энергию. В замкнутой экосистеме захоронения нет, есть только накопление.</w:t>
      </w:r>
    </w:p>
    <w:p>
      <w:pPr>
        <w:pStyle w:val="Heading2"/>
      </w:pPr>
      <w:r>
        <w:t>30.2. Коррозионный контур — главный промышленный поток</w:t>
      </w:r>
    </w:p>
    <w:p>
      <w:r>
        <w:t>Расчёт п. 16.3 даёт: при 5 % открытого металла (155 км²) и скорости атмосферной коррозии 0,01 мм/год окисляется 12,17 млн т стали в год, связывая 5,23 млн т кислорода. Это и есть главный материальный поток станции — он в двадцать раз превосходит все бытовые отходы.</w:t>
      </w:r>
    </w:p>
    <w:p>
      <w:pPr>
        <w:pStyle w:val="Caption"/>
        <w:jc w:val="center"/>
      </w:pPr>
      <w:r>
        <w:t>Таблица 30.2 — Коррозионный контур (по данным п. 14.3 и п. 16.3)</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402"/>
            <w:shd w:val="clear" w:fill="DEEAF6"/>
          </w:tcPr>
          <w:p>
            <w:pPr>
              <w:jc w:val="center"/>
            </w:pPr>
            <w:r>
              <w:rPr>
                <w:b/>
                <w:sz w:val="16"/>
              </w:rPr>
              <w:t>Показатель</w:t>
            </w:r>
          </w:p>
        </w:tc>
        <w:tc>
          <w:tcPr>
            <w:tcW w:type="dxa" w:w="2041"/>
            <w:shd w:val="clear" w:fill="DEEAF6"/>
          </w:tcPr>
          <w:p>
            <w:pPr>
              <w:jc w:val="center"/>
            </w:pPr>
            <w:r>
              <w:rPr>
                <w:b/>
                <w:sz w:val="16"/>
              </w:rPr>
              <w:t>Без покрытий</w:t>
            </w:r>
          </w:p>
        </w:tc>
        <w:tc>
          <w:tcPr>
            <w:tcW w:type="dxa" w:w="2041"/>
            <w:shd w:val="clear" w:fill="DEEAF6"/>
          </w:tcPr>
          <w:p>
            <w:pPr>
              <w:jc w:val="center"/>
            </w:pPr>
            <w:r>
              <w:rPr>
                <w:b/>
                <w:sz w:val="16"/>
              </w:rPr>
              <w:t>С покрытиями</w:t>
            </w:r>
          </w:p>
        </w:tc>
      </w:tr>
      <w:tr>
        <w:tc>
          <w:tcPr>
            <w:tcW w:type="dxa" w:w="3402"/>
          </w:tcPr>
          <w:p>
            <w:r>
              <w:rPr>
                <w:sz w:val="16"/>
              </w:rPr>
              <w:t>Скорость коррозии, мм/год</w:t>
            </w:r>
          </w:p>
        </w:tc>
        <w:tc>
          <w:tcPr>
            <w:tcW w:type="dxa" w:w="2041"/>
          </w:tcPr>
          <w:p>
            <w:pPr>
              <w:jc w:val="center"/>
            </w:pPr>
            <w:r>
              <w:rPr>
                <w:sz w:val="16"/>
              </w:rPr>
              <w:t>0,01</w:t>
            </w:r>
          </w:p>
        </w:tc>
        <w:tc>
          <w:tcPr>
            <w:tcW w:type="dxa" w:w="2041"/>
          </w:tcPr>
          <w:p>
            <w:pPr>
              <w:jc w:val="center"/>
            </w:pPr>
            <w:r>
              <w:rPr>
                <w:sz w:val="16"/>
              </w:rPr>
              <w:t>0,001</w:t>
            </w:r>
          </w:p>
        </w:tc>
      </w:tr>
      <w:tr>
        <w:tc>
          <w:tcPr>
            <w:tcW w:type="dxa" w:w="3402"/>
          </w:tcPr>
          <w:p>
            <w:r>
              <w:rPr>
                <w:sz w:val="16"/>
              </w:rPr>
              <w:t>Окисление стали, млн т/год</w:t>
            </w:r>
          </w:p>
        </w:tc>
        <w:tc>
          <w:tcPr>
            <w:tcW w:type="dxa" w:w="2041"/>
          </w:tcPr>
          <w:p>
            <w:pPr>
              <w:jc w:val="center"/>
            </w:pPr>
            <w:r>
              <w:rPr>
                <w:sz w:val="16"/>
              </w:rPr>
              <w:t>12,17</w:t>
            </w:r>
          </w:p>
        </w:tc>
        <w:tc>
          <w:tcPr>
            <w:tcW w:type="dxa" w:w="2041"/>
          </w:tcPr>
          <w:p>
            <w:pPr>
              <w:jc w:val="center"/>
            </w:pPr>
            <w:r>
              <w:rPr>
                <w:sz w:val="16"/>
              </w:rPr>
              <w:t>1,22</w:t>
            </w:r>
          </w:p>
        </w:tc>
      </w:tr>
      <w:tr>
        <w:tc>
          <w:tcPr>
            <w:tcW w:type="dxa" w:w="3402"/>
          </w:tcPr>
          <w:p>
            <w:r>
              <w:rPr>
                <w:sz w:val="16"/>
              </w:rPr>
              <w:t>Связывание кислорода, млн т/год</w:t>
            </w:r>
          </w:p>
        </w:tc>
        <w:tc>
          <w:tcPr>
            <w:tcW w:type="dxa" w:w="2041"/>
          </w:tcPr>
          <w:p>
            <w:pPr>
              <w:jc w:val="center"/>
            </w:pPr>
            <w:r>
              <w:rPr>
                <w:sz w:val="16"/>
              </w:rPr>
              <w:t>5,23</w:t>
            </w:r>
          </w:p>
        </w:tc>
        <w:tc>
          <w:tcPr>
            <w:tcW w:type="dxa" w:w="2041"/>
          </w:tcPr>
          <w:p>
            <w:pPr>
              <w:jc w:val="center"/>
            </w:pPr>
            <w:r>
              <w:rPr>
                <w:sz w:val="16"/>
              </w:rPr>
              <w:t>0,52</w:t>
            </w:r>
          </w:p>
        </w:tc>
      </w:tr>
      <w:tr>
        <w:tc>
          <w:tcPr>
            <w:tcW w:type="dxa" w:w="3402"/>
          </w:tcPr>
          <w:p>
            <w:r>
              <w:rPr>
                <w:sz w:val="16"/>
              </w:rPr>
              <w:t>Замена стали за 200 лет, млн т</w:t>
            </w:r>
          </w:p>
        </w:tc>
        <w:tc>
          <w:tcPr>
            <w:tcW w:type="dxa" w:w="2041"/>
          </w:tcPr>
          <w:p>
            <w:pPr>
              <w:jc w:val="center"/>
            </w:pPr>
            <w:r>
              <w:rPr>
                <w:sz w:val="16"/>
              </w:rPr>
              <w:t>2 434</w:t>
            </w:r>
          </w:p>
        </w:tc>
        <w:tc>
          <w:tcPr>
            <w:tcW w:type="dxa" w:w="2041"/>
          </w:tcPr>
          <w:p>
            <w:pPr>
              <w:jc w:val="center"/>
            </w:pPr>
            <w:r>
              <w:rPr>
                <w:sz w:val="16"/>
              </w:rPr>
              <w:t>243</w:t>
            </w:r>
          </w:p>
        </w:tc>
      </w:tr>
      <w:tr>
        <w:tc>
          <w:tcPr>
            <w:tcW w:type="dxa" w:w="3402"/>
          </w:tcPr>
          <w:p>
            <w:r>
              <w:rPr>
                <w:sz w:val="16"/>
              </w:rPr>
              <w:t>Доля от массы станции (46,70 млрд т)</w:t>
            </w:r>
          </w:p>
        </w:tc>
        <w:tc>
          <w:tcPr>
            <w:tcW w:type="dxa" w:w="2041"/>
          </w:tcPr>
          <w:p>
            <w:pPr>
              <w:jc w:val="center"/>
            </w:pPr>
            <w:r>
              <w:rPr>
                <w:sz w:val="16"/>
              </w:rPr>
              <w:t>5,2 %</w:t>
            </w:r>
          </w:p>
        </w:tc>
        <w:tc>
          <w:tcPr>
            <w:tcW w:type="dxa" w:w="2041"/>
          </w:tcPr>
          <w:p>
            <w:pPr>
              <w:jc w:val="center"/>
            </w:pPr>
            <w:r>
              <w:rPr>
                <w:sz w:val="16"/>
              </w:rPr>
              <w:t>0,52 %</w:t>
            </w:r>
          </w:p>
        </w:tc>
      </w:tr>
    </w:tbl>
    <w:p>
      <w:r>
        <w:t>Покрытия снижают поток в десять раз и являются не мерой экономии, а условием выполнимости кислородного баланса: без них за 200 лет связывается 66,1 % запаса кислорода (п. 16.4).</w:t>
      </w:r>
    </w:p>
    <w:p>
      <w:pPr>
        <w:pStyle w:val="Heading2"/>
      </w:pPr>
      <w:r>
        <w:t>30.3. Потребность в новой стали</w:t>
      </w:r>
    </w:p>
    <w:p>
      <w:r>
        <w:t>При покрытом исполнении станция нуждается в 1,22 млн т новой стали в год, то есть в 243 млн т за срок службы. Эта величина не покрывается возвратом бытового металла (72 400 т/год) — возврат составляет 6 % потребности. Остальное обязано поступать из внешней добычи.</w:t>
      </w:r>
    </w:p>
    <w:p>
      <w:pPr>
        <w:pStyle w:val="Heading2"/>
      </w:pPr>
      <w:r>
        <w:t>30.4. Ресурсная база</w:t>
      </w:r>
    </w:p>
    <w:p>
      <w:r>
        <w:t>Источник — металлические астероиды. Астероид (6178) 1986 DA типа M с поперечником около 3 км и плотностью 5 000 кг/м³ даёт объём 14,14 км³ и массу 70,7 млрд т. Потребность в стали — 22,05 млрд т на конструкцию плюс 243 млн т замены за 200 лет при покрытом исполнении. Один астероид покрывает потребность в 3,2 раза; если покрытия не поддерживать, замена возрастает до 2 434 млн т и покрытие падает до 0,03.</w:t>
      </w:r>
    </w:p>
    <w:p>
      <w:r>
        <w:t>Это означает, что металлический контур реализуем, но запаса прочности мало: астероид даёт 3,2 покрытия, а не десятки. Второй источник обязателен — как для страховки, так и для попутных элементов, которых в M-астероиде нет.</w:t>
      </w:r>
    </w:p>
    <w:p>
      <w:pPr>
        <w:pStyle w:val="Heading2"/>
      </w:pPr>
      <w:r>
        <w:t>30.5. Энергия переработки</w:t>
      </w:r>
    </w:p>
    <w:p>
      <w:r>
        <w:t>Выплавка из руды требует около 20 ГДж на тонну (электросталь — порядка 2,5 ГДж/т). Переработка 1,22 млн т/год даёт 0,8 ГВт непрерывной мощности, что составляет 0,11 % полной мощности станции 721,4 ГВт. Энергетически промышленность не является ограничением; ограничением являются масса и логистика.</w:t>
      </w:r>
    </w:p>
    <w:p>
      <w:pPr>
        <w:pStyle w:val="Heading2"/>
      </w:pPr>
      <w:r>
        <w:t>30.6. Промышленные потоки, которых не хватает</w:t>
      </w:r>
    </w:p>
    <w:p>
      <w:pPr>
        <w:pStyle w:val="ListBullet"/>
      </w:pPr>
      <w:r>
        <w:t>Замена обшивки и силового набора: 1,22 млн т/год при покрытиях, 12,17 млн т/год без них.</w:t>
      </w:r>
    </w:p>
    <w:p>
      <w:pPr>
        <w:pStyle w:val="ListBullet"/>
      </w:pPr>
      <w:r>
        <w:t>Незамкнутый бытовой остаток: 127,9 тыс. т/год — требует конкретной технологии утилизации.</w:t>
      </w:r>
    </w:p>
    <w:p>
      <w:pPr>
        <w:pStyle w:val="ListBullet"/>
      </w:pPr>
      <w:r>
        <w:t>Сточи 73 млн м³/год: замкнутый водооборот с потерями требует подпитки из внешних источников (п. 8.3).</w:t>
      </w:r>
    </w:p>
    <w:p>
      <w:pPr>
        <w:pStyle w:val="ListBullet"/>
      </w:pPr>
      <w:r>
        <w:t>Кремний, углерод, сера, фосфор и микроэлементы — в M-астероиде отсутствуют или дефицитны; нужен второй источник.</w:t>
      </w:r>
    </w:p>
    <w:p>
      <w:pPr>
        <w:pStyle w:val="ListBullet"/>
      </w:pPr>
      <w:r>
        <w:t>Отработавшее ядерное топливо и радиационные отходы (п. 18) — отдельный контур, не замыкающийся в общем балансе.</w:t>
      </w:r>
    </w:p>
    <w:p>
      <w:pPr>
        <w:spacing w:before="200"/>
        <w:jc w:val="center"/>
      </w:pPr>
      <w:r>
        <w:rPr>
          <w:b/>
          <w:color w:val="2E5496"/>
          <w:sz w:val="17"/>
        </w:rPr>
        <w:t>ENGLISH EDITION</w:t>
      </w:r>
    </w:p>
    <w:p>
      <w:pPr>
        <w:pStyle w:val="Heading1"/>
      </w:pPr>
      <w:r>
        <w:t>30. INDUSTRY, RESOURCE EXTRACTION, PROCESSING AND PRODUCTION WASTE</w:t>
      </w:r>
    </w:p>
    <w:p>
      <w:r>
        <w:t>Item 11.2 considers domestic waste and its closure. The present section considers the industrial circuit, which the document did not compute, and shows that it is orders of magnitude larger than the domestic one.</w:t>
      </w:r>
    </w:p>
    <w:p>
      <w:pPr>
        <w:pStyle w:val="Heading2"/>
      </w:pPr>
      <w:r>
        <w:t>30.1. Domestic circuit</w:t>
      </w:r>
    </w:p>
    <w:p>
      <w:r>
        <w:t>A population of 1,000,000 at 1.5 kg of solid waste per person per day gives 547,500 t per year, and at 200 l of sewage gives 73 million m³. Composition: organic about 60 %, metal and glass about 25 %, other 15 %.</w:t>
      </w:r>
    </w:p>
    <w:p>
      <w:pPr>
        <w:pStyle w:val="Caption"/>
        <w:jc w:val="center"/>
      </w:pPr>
      <w:r>
        <w:t>Table 30.1 — Domestic circuit: composition and routes</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4082"/>
            <w:shd w:val="clear" w:fill="DEEAF6"/>
          </w:tcPr>
          <w:p>
            <w:pPr>
              <w:jc w:val="center"/>
            </w:pPr>
            <w:r>
              <w:rPr>
                <w:b/>
                <w:sz w:val="16"/>
              </w:rPr>
              <w:t>Stream</w:t>
            </w:r>
          </w:p>
        </w:tc>
        <w:tc>
          <w:tcPr>
            <w:tcW w:type="dxa" w:w="1928"/>
            <w:shd w:val="clear" w:fill="DEEAF6"/>
          </w:tcPr>
          <w:p>
            <w:pPr>
              <w:jc w:val="center"/>
            </w:pPr>
            <w:r>
              <w:rPr>
                <w:b/>
                <w:sz w:val="16"/>
              </w:rPr>
              <w:t>Value, thousand t/yr</w:t>
            </w:r>
          </w:p>
        </w:tc>
        <w:tc>
          <w:tcPr>
            <w:tcW w:type="dxa" w:w="1587"/>
            <w:shd w:val="clear" w:fill="DEEAF6"/>
          </w:tcPr>
          <w:p>
            <w:pPr>
              <w:jc w:val="center"/>
            </w:pPr>
            <w:r>
              <w:rPr>
                <w:b/>
                <w:sz w:val="16"/>
              </w:rPr>
              <w:t>Share</w:t>
            </w:r>
          </w:p>
        </w:tc>
      </w:tr>
      <w:tr>
        <w:tc>
          <w:tcPr>
            <w:tcW w:type="dxa" w:w="4082"/>
          </w:tcPr>
          <w:p>
            <w:r>
              <w:rPr>
                <w:sz w:val="16"/>
              </w:rPr>
              <w:t>Solid waste, total</w:t>
            </w:r>
          </w:p>
        </w:tc>
        <w:tc>
          <w:tcPr>
            <w:tcW w:type="dxa" w:w="1928"/>
          </w:tcPr>
          <w:p>
            <w:pPr>
              <w:jc w:val="center"/>
            </w:pPr>
            <w:r>
              <w:rPr>
                <w:sz w:val="16"/>
              </w:rPr>
              <w:t>547.5</w:t>
            </w:r>
          </w:p>
        </w:tc>
        <w:tc>
          <w:tcPr>
            <w:tcW w:type="dxa" w:w="1587"/>
          </w:tcPr>
          <w:p>
            <w:pPr>
              <w:jc w:val="center"/>
            </w:pPr>
            <w:r>
              <w:rPr>
                <w:sz w:val="16"/>
              </w:rPr>
              <w:t>100 %</w:t>
            </w:r>
          </w:p>
        </w:tc>
      </w:tr>
      <w:tr>
        <w:tc>
          <w:tcPr>
            <w:tcW w:type="dxa" w:w="4082"/>
          </w:tcPr>
          <w:p>
            <w:r>
              <w:rPr>
                <w:sz w:val="16"/>
              </w:rPr>
              <w:t xml:space="preserve">  Organic fraction</w:t>
            </w:r>
          </w:p>
        </w:tc>
        <w:tc>
          <w:tcPr>
            <w:tcW w:type="dxa" w:w="1928"/>
          </w:tcPr>
          <w:p>
            <w:pPr>
              <w:jc w:val="center"/>
            </w:pPr>
            <w:r>
              <w:rPr>
                <w:sz w:val="16"/>
              </w:rPr>
              <w:t>328.5</w:t>
            </w:r>
          </w:p>
        </w:tc>
        <w:tc>
          <w:tcPr>
            <w:tcW w:type="dxa" w:w="1587"/>
          </w:tcPr>
          <w:p>
            <w:pPr>
              <w:jc w:val="center"/>
            </w:pPr>
            <w:r>
              <w:rPr>
                <w:sz w:val="16"/>
              </w:rPr>
              <w:t>60 %</w:t>
            </w:r>
          </w:p>
        </w:tc>
      </w:tr>
      <w:tr>
        <w:tc>
          <w:tcPr>
            <w:tcW w:type="dxa" w:w="4082"/>
          </w:tcPr>
          <w:p>
            <w:r>
              <w:rPr>
                <w:sz w:val="16"/>
              </w:rPr>
              <w:t xml:space="preserve">    Compost to soil</w:t>
            </w:r>
          </w:p>
        </w:tc>
        <w:tc>
          <w:tcPr>
            <w:tcW w:type="dxa" w:w="1928"/>
          </w:tcPr>
          <w:p>
            <w:pPr>
              <w:jc w:val="center"/>
            </w:pPr>
            <w:r>
              <w:rPr>
                <w:sz w:val="16"/>
              </w:rPr>
              <w:t>180.7</w:t>
            </w:r>
          </w:p>
        </w:tc>
        <w:tc>
          <w:tcPr>
            <w:tcW w:type="dxa" w:w="1587"/>
          </w:tcPr>
          <w:p>
            <w:pPr>
              <w:jc w:val="center"/>
            </w:pPr>
            <w:r>
              <w:rPr>
                <w:sz w:val="16"/>
              </w:rPr>
              <w:t>33.0 %</w:t>
            </w:r>
          </w:p>
        </w:tc>
      </w:tr>
      <w:tr>
        <w:tc>
          <w:tcPr>
            <w:tcW w:type="dxa" w:w="4082"/>
          </w:tcPr>
          <w:p>
            <w:r>
              <w:rPr>
                <w:sz w:val="16"/>
              </w:rPr>
              <w:t xml:space="preserve">    Feedstock for black soldier fly</w:t>
            </w:r>
          </w:p>
        </w:tc>
        <w:tc>
          <w:tcPr>
            <w:tcW w:type="dxa" w:w="1928"/>
          </w:tcPr>
          <w:p>
            <w:pPr>
              <w:jc w:val="center"/>
            </w:pPr>
            <w:r>
              <w:rPr>
                <w:sz w:val="16"/>
              </w:rPr>
              <w:t>115.0</w:t>
            </w:r>
          </w:p>
        </w:tc>
        <w:tc>
          <w:tcPr>
            <w:tcW w:type="dxa" w:w="1587"/>
          </w:tcPr>
          <w:p>
            <w:pPr>
              <w:jc w:val="center"/>
            </w:pPr>
            <w:r>
              <w:rPr>
                <w:sz w:val="16"/>
              </w:rPr>
              <w:t>21.0 %</w:t>
            </w:r>
          </w:p>
        </w:tc>
      </w:tr>
      <w:tr>
        <w:tc>
          <w:tcPr>
            <w:tcW w:type="dxa" w:w="4082"/>
          </w:tcPr>
          <w:p>
            <w:r>
              <w:rPr>
                <w:sz w:val="16"/>
              </w:rPr>
              <w:t xml:space="preserve">    Biogas</w:t>
            </w:r>
          </w:p>
        </w:tc>
        <w:tc>
          <w:tcPr>
            <w:tcW w:type="dxa" w:w="1928"/>
          </w:tcPr>
          <w:p>
            <w:pPr>
              <w:jc w:val="center"/>
            </w:pPr>
            <w:r>
              <w:rPr>
                <w:sz w:val="16"/>
              </w:rPr>
              <w:t>32.9</w:t>
            </w:r>
          </w:p>
        </w:tc>
        <w:tc>
          <w:tcPr>
            <w:tcW w:type="dxa" w:w="1587"/>
          </w:tcPr>
          <w:p>
            <w:pPr>
              <w:jc w:val="center"/>
            </w:pPr>
            <w:r>
              <w:rPr>
                <w:sz w:val="16"/>
              </w:rPr>
              <w:t>6.0 %</w:t>
            </w:r>
          </w:p>
        </w:tc>
      </w:tr>
      <w:tr>
        <w:tc>
          <w:tcPr>
            <w:tcW w:type="dxa" w:w="4082"/>
          </w:tcPr>
          <w:p>
            <w:r>
              <w:rPr>
                <w:sz w:val="16"/>
              </w:rPr>
              <w:t xml:space="preserve">  Metal and glass</w:t>
            </w:r>
          </w:p>
        </w:tc>
        <w:tc>
          <w:tcPr>
            <w:tcW w:type="dxa" w:w="1928"/>
          </w:tcPr>
          <w:p>
            <w:pPr>
              <w:jc w:val="center"/>
            </w:pPr>
            <w:r>
              <w:rPr>
                <w:sz w:val="16"/>
              </w:rPr>
              <w:t>136.9</w:t>
            </w:r>
          </w:p>
        </w:tc>
        <w:tc>
          <w:tcPr>
            <w:tcW w:type="dxa" w:w="1587"/>
          </w:tcPr>
          <w:p>
            <w:pPr>
              <w:jc w:val="center"/>
            </w:pPr>
            <w:r>
              <w:rPr>
                <w:sz w:val="16"/>
              </w:rPr>
              <w:t>25 %</w:t>
            </w:r>
          </w:p>
        </w:tc>
      </w:tr>
      <w:tr>
        <w:tc>
          <w:tcPr>
            <w:tcW w:type="dxa" w:w="4082"/>
          </w:tcPr>
          <w:p>
            <w:r>
              <w:rPr>
                <w:sz w:val="16"/>
              </w:rPr>
              <w:t xml:space="preserve">    Metal return</w:t>
            </w:r>
          </w:p>
        </w:tc>
        <w:tc>
          <w:tcPr>
            <w:tcW w:type="dxa" w:w="1928"/>
          </w:tcPr>
          <w:p>
            <w:pPr>
              <w:jc w:val="center"/>
            </w:pPr>
            <w:r>
              <w:rPr>
                <w:sz w:val="16"/>
              </w:rPr>
              <w:t>71.5</w:t>
            </w:r>
          </w:p>
        </w:tc>
        <w:tc>
          <w:tcPr>
            <w:tcW w:type="dxa" w:w="1587"/>
          </w:tcPr>
          <w:p>
            <w:pPr>
              <w:jc w:val="center"/>
            </w:pPr>
            <w:r>
              <w:rPr>
                <w:sz w:val="16"/>
              </w:rPr>
              <w:t>13.1 %</w:t>
            </w:r>
          </w:p>
        </w:tc>
      </w:tr>
      <w:tr>
        <w:tc>
          <w:tcPr>
            <w:tcW w:type="dxa" w:w="4082"/>
          </w:tcPr>
          <w:p>
            <w:r>
              <w:rPr>
                <w:sz w:val="16"/>
              </w:rPr>
              <w:t xml:space="preserve">    Glass return</w:t>
            </w:r>
          </w:p>
        </w:tc>
        <w:tc>
          <w:tcPr>
            <w:tcW w:type="dxa" w:w="1928"/>
          </w:tcPr>
          <w:p>
            <w:pPr>
              <w:jc w:val="center"/>
            </w:pPr>
            <w:r>
              <w:rPr>
                <w:sz w:val="16"/>
              </w:rPr>
              <w:t>52.4</w:t>
            </w:r>
          </w:p>
        </w:tc>
        <w:tc>
          <w:tcPr>
            <w:tcW w:type="dxa" w:w="1587"/>
          </w:tcPr>
          <w:p>
            <w:pPr>
              <w:jc w:val="center"/>
            </w:pPr>
            <w:r>
              <w:rPr>
                <w:sz w:val="16"/>
              </w:rPr>
              <w:t>9.6 %</w:t>
            </w:r>
          </w:p>
        </w:tc>
      </w:tr>
      <w:tr>
        <w:tc>
          <w:tcPr>
            <w:tcW w:type="dxa" w:w="4082"/>
          </w:tcPr>
          <w:p>
            <w:r>
              <w:rPr>
                <w:sz w:val="16"/>
              </w:rPr>
              <w:t xml:space="preserve">    Not recovered</w:t>
            </w:r>
          </w:p>
        </w:tc>
        <w:tc>
          <w:tcPr>
            <w:tcW w:type="dxa" w:w="1928"/>
          </w:tcPr>
          <w:p>
            <w:pPr>
              <w:jc w:val="center"/>
            </w:pPr>
            <w:r>
              <w:rPr>
                <w:sz w:val="16"/>
              </w:rPr>
              <w:t>13.0</w:t>
            </w:r>
          </w:p>
        </w:tc>
        <w:tc>
          <w:tcPr>
            <w:tcW w:type="dxa" w:w="1587"/>
          </w:tcPr>
          <w:p>
            <w:pPr>
              <w:jc w:val="center"/>
            </w:pPr>
            <w:r>
              <w:rPr>
                <w:sz w:val="16"/>
              </w:rPr>
              <w:t>2.4 %</w:t>
            </w:r>
          </w:p>
        </w:tc>
      </w:tr>
      <w:tr>
        <w:tc>
          <w:tcPr>
            <w:tcW w:type="dxa" w:w="4082"/>
          </w:tcPr>
          <w:p>
            <w:r>
              <w:rPr>
                <w:sz w:val="16"/>
              </w:rPr>
              <w:t xml:space="preserve">  Other (no recovery route)</w:t>
            </w:r>
          </w:p>
        </w:tc>
        <w:tc>
          <w:tcPr>
            <w:tcW w:type="dxa" w:w="1928"/>
          </w:tcPr>
          <w:p>
            <w:pPr>
              <w:jc w:val="center"/>
            </w:pPr>
            <w:r>
              <w:rPr>
                <w:sz w:val="16"/>
              </w:rPr>
              <w:t>82.1</w:t>
            </w:r>
          </w:p>
        </w:tc>
        <w:tc>
          <w:tcPr>
            <w:tcW w:type="dxa" w:w="1587"/>
          </w:tcPr>
          <w:p>
            <w:pPr>
              <w:jc w:val="center"/>
            </w:pPr>
            <w:r>
              <w:rPr>
                <w:sz w:val="16"/>
              </w:rPr>
              <w:t>15.0 %</w:t>
            </w:r>
          </w:p>
        </w:tc>
      </w:tr>
    </w:tbl>
    <w:p>
      <w:r>
        <w:t>Material closure of the domestic circuit is 76.6 %: 419.6 thousand t/yr return to soil, to feed or to remelting. The unclosed remainder of 127.9 thousand t/yr has three parts: 82.1 thousand t is the “other” fraction with no recovery route, 13.0 thousand t is unrecovered metal and glass, and 32.9 thousand t leaves as biogas energy. In a closed ecosystem there is no burial, only accumulation.</w:t>
      </w:r>
    </w:p>
    <w:p>
      <w:pPr>
        <w:pStyle w:val="Heading2"/>
      </w:pPr>
      <w:r>
        <w:t>30.2. The corrosion circuit — the main industrial stream</w:t>
      </w:r>
    </w:p>
    <w:p>
      <w:r>
        <w:t>The calculation of item 16.3 gives: at 5 % exposed metal (155 km²) and an atmospheric corrosion rate of 0.01 mm/yr, 12.17 million t of steel oxidises per year, binding 5.23 million t of oxygen. This is the main material stream of the station — twenty times all domestic waste.</w:t>
      </w:r>
    </w:p>
    <w:p>
      <w:pPr>
        <w:pStyle w:val="Caption"/>
        <w:jc w:val="center"/>
      </w:pPr>
      <w:r>
        <w:t>Table 30.2 — Corrosion circuit (from items 14.3 and 16.3)</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402"/>
            <w:shd w:val="clear" w:fill="DEEAF6"/>
          </w:tcPr>
          <w:p>
            <w:pPr>
              <w:jc w:val="center"/>
            </w:pPr>
            <w:r>
              <w:rPr>
                <w:b/>
                <w:sz w:val="16"/>
              </w:rPr>
              <w:t>Quantity</w:t>
            </w:r>
          </w:p>
        </w:tc>
        <w:tc>
          <w:tcPr>
            <w:tcW w:type="dxa" w:w="2041"/>
            <w:shd w:val="clear" w:fill="DEEAF6"/>
          </w:tcPr>
          <w:p>
            <w:pPr>
              <w:jc w:val="center"/>
            </w:pPr>
            <w:r>
              <w:rPr>
                <w:b/>
                <w:sz w:val="16"/>
              </w:rPr>
              <w:t>No coatings</w:t>
            </w:r>
          </w:p>
        </w:tc>
        <w:tc>
          <w:tcPr>
            <w:tcW w:type="dxa" w:w="2041"/>
            <w:shd w:val="clear" w:fill="DEEAF6"/>
          </w:tcPr>
          <w:p>
            <w:pPr>
              <w:jc w:val="center"/>
            </w:pPr>
            <w:r>
              <w:rPr>
                <w:b/>
                <w:sz w:val="16"/>
              </w:rPr>
              <w:t>With coatings</w:t>
            </w:r>
          </w:p>
        </w:tc>
      </w:tr>
      <w:tr>
        <w:tc>
          <w:tcPr>
            <w:tcW w:type="dxa" w:w="3402"/>
          </w:tcPr>
          <w:p>
            <w:r>
              <w:rPr>
                <w:sz w:val="16"/>
              </w:rPr>
              <w:t>Corrosion rate, mm/yr</w:t>
            </w:r>
          </w:p>
        </w:tc>
        <w:tc>
          <w:tcPr>
            <w:tcW w:type="dxa" w:w="2041"/>
          </w:tcPr>
          <w:p>
            <w:pPr>
              <w:jc w:val="center"/>
            </w:pPr>
            <w:r>
              <w:rPr>
                <w:sz w:val="16"/>
              </w:rPr>
              <w:t>0.01</w:t>
            </w:r>
          </w:p>
        </w:tc>
        <w:tc>
          <w:tcPr>
            <w:tcW w:type="dxa" w:w="2041"/>
          </w:tcPr>
          <w:p>
            <w:pPr>
              <w:jc w:val="center"/>
            </w:pPr>
            <w:r>
              <w:rPr>
                <w:sz w:val="16"/>
              </w:rPr>
              <w:t>0.001</w:t>
            </w:r>
          </w:p>
        </w:tc>
      </w:tr>
      <w:tr>
        <w:tc>
          <w:tcPr>
            <w:tcW w:type="dxa" w:w="3402"/>
          </w:tcPr>
          <w:p>
            <w:r>
              <w:rPr>
                <w:sz w:val="16"/>
              </w:rPr>
              <w:t>Steel oxidised, million t/yr</w:t>
            </w:r>
          </w:p>
        </w:tc>
        <w:tc>
          <w:tcPr>
            <w:tcW w:type="dxa" w:w="2041"/>
          </w:tcPr>
          <w:p>
            <w:pPr>
              <w:jc w:val="center"/>
            </w:pPr>
            <w:r>
              <w:rPr>
                <w:sz w:val="16"/>
              </w:rPr>
              <w:t>12.17</w:t>
            </w:r>
          </w:p>
        </w:tc>
        <w:tc>
          <w:tcPr>
            <w:tcW w:type="dxa" w:w="2041"/>
          </w:tcPr>
          <w:p>
            <w:pPr>
              <w:jc w:val="center"/>
            </w:pPr>
            <w:r>
              <w:rPr>
                <w:sz w:val="16"/>
              </w:rPr>
              <w:t>1.22</w:t>
            </w:r>
          </w:p>
        </w:tc>
      </w:tr>
      <w:tr>
        <w:tc>
          <w:tcPr>
            <w:tcW w:type="dxa" w:w="3402"/>
          </w:tcPr>
          <w:p>
            <w:r>
              <w:rPr>
                <w:sz w:val="16"/>
              </w:rPr>
              <w:t>Oxygen bound, million t/yr</w:t>
            </w:r>
          </w:p>
        </w:tc>
        <w:tc>
          <w:tcPr>
            <w:tcW w:type="dxa" w:w="2041"/>
          </w:tcPr>
          <w:p>
            <w:pPr>
              <w:jc w:val="center"/>
            </w:pPr>
            <w:r>
              <w:rPr>
                <w:sz w:val="16"/>
              </w:rPr>
              <w:t>5.23</w:t>
            </w:r>
          </w:p>
        </w:tc>
        <w:tc>
          <w:tcPr>
            <w:tcW w:type="dxa" w:w="2041"/>
          </w:tcPr>
          <w:p>
            <w:pPr>
              <w:jc w:val="center"/>
            </w:pPr>
            <w:r>
              <w:rPr>
                <w:sz w:val="16"/>
              </w:rPr>
              <w:t>0.52</w:t>
            </w:r>
          </w:p>
        </w:tc>
      </w:tr>
      <w:tr>
        <w:tc>
          <w:tcPr>
            <w:tcW w:type="dxa" w:w="3402"/>
          </w:tcPr>
          <w:p>
            <w:r>
              <w:rPr>
                <w:sz w:val="16"/>
              </w:rPr>
              <w:t>Steel replacement over 200 yr, million t</w:t>
            </w:r>
          </w:p>
        </w:tc>
        <w:tc>
          <w:tcPr>
            <w:tcW w:type="dxa" w:w="2041"/>
          </w:tcPr>
          <w:p>
            <w:pPr>
              <w:jc w:val="center"/>
            </w:pPr>
            <w:r>
              <w:rPr>
                <w:sz w:val="16"/>
              </w:rPr>
              <w:t>2,434</w:t>
            </w:r>
          </w:p>
        </w:tc>
        <w:tc>
          <w:tcPr>
            <w:tcW w:type="dxa" w:w="2041"/>
          </w:tcPr>
          <w:p>
            <w:pPr>
              <w:jc w:val="center"/>
            </w:pPr>
            <w:r>
              <w:rPr>
                <w:sz w:val="16"/>
              </w:rPr>
              <w:t>243</w:t>
            </w:r>
          </w:p>
        </w:tc>
      </w:tr>
      <w:tr>
        <w:tc>
          <w:tcPr>
            <w:tcW w:type="dxa" w:w="3402"/>
          </w:tcPr>
          <w:p>
            <w:r>
              <w:rPr>
                <w:sz w:val="16"/>
              </w:rPr>
              <w:t>Share of station mass (46.70 billion t)</w:t>
            </w:r>
          </w:p>
        </w:tc>
        <w:tc>
          <w:tcPr>
            <w:tcW w:type="dxa" w:w="2041"/>
          </w:tcPr>
          <w:p>
            <w:pPr>
              <w:jc w:val="center"/>
            </w:pPr>
            <w:r>
              <w:rPr>
                <w:sz w:val="16"/>
              </w:rPr>
              <w:t>5.2 %</w:t>
            </w:r>
          </w:p>
        </w:tc>
        <w:tc>
          <w:tcPr>
            <w:tcW w:type="dxa" w:w="2041"/>
          </w:tcPr>
          <w:p>
            <w:pPr>
              <w:jc w:val="center"/>
            </w:pPr>
            <w:r>
              <w:rPr>
                <w:sz w:val="16"/>
              </w:rPr>
              <w:t>0.52 %</w:t>
            </w:r>
          </w:p>
        </w:tc>
      </w:tr>
    </w:tbl>
    <w:p>
      <w:r>
        <w:t>Coatings cut the stream tenfold and are not a saving measure but a condition of feasibility of the oxygen balance: without them 66.1 % of the oxygen stock is bound over 200 years (item 16.4).</w:t>
      </w:r>
    </w:p>
    <w:p>
      <w:pPr>
        <w:pStyle w:val="Heading2"/>
      </w:pPr>
      <w:r>
        <w:t>30.3. Demand for new steel</w:t>
      </w:r>
    </w:p>
    <w:p>
      <w:r>
        <w:t>In coated execution the station needs 1.22 million t of new steel per year, that is 243 million t over its service life. This is not covered by domestic metal return (72,400 t/yr) — return is 6 % of demand. The rest must come from external extraction.</w:t>
      </w:r>
    </w:p>
    <w:p>
      <w:pPr>
        <w:pStyle w:val="Heading2"/>
      </w:pPr>
      <w:r>
        <w:t>30.4. Resource base</w:t>
      </w:r>
    </w:p>
    <w:p>
      <w:r>
        <w:t>The source is metallic asteroids. Asteroid (6178) 1986 DA, type M, with a diameter of about 3 km and density 5,000 kg/m³ gives a volume of 14.14 km³ and a mass of 70.7 billion t. Steel demand is 22.05 billion t for the structure plus 243 million t of replacement over 200 years in coated execution. One asteroid covers demand 3.2 times; if coatings are not maintained, replacement rises to 2,434 million t and cover falls to 0.03.</w:t>
      </w:r>
    </w:p>
    <w:p>
      <w:r>
        <w:t>This means the metal circuit is feasible, but the margin is thin: an asteroid gives 2.9 coverings, not tens. A second source is mandatory — both as insurance and for the associated elements absent from M-type asteroids.</w:t>
      </w:r>
    </w:p>
    <w:p>
      <w:pPr>
        <w:pStyle w:val="Heading2"/>
      </w:pPr>
      <w:r>
        <w:t>30.5. Processing energy</w:t>
      </w:r>
    </w:p>
    <w:p>
      <w:r>
        <w:t>Smelting from ore requires about 20 GJ per tonne (electric steel about 2.5 GJ/t). Processing 1.22 million t/yr gives 0.8 GW of continuous power, which is 0.11 % of the station’s full power of 721.4 GW. Energetically industry is not a constraint; the constraints are mass and logistics.</w:t>
      </w:r>
    </w:p>
    <w:p>
      <w:pPr>
        <w:pStyle w:val="Heading2"/>
      </w:pPr>
      <w:r>
        <w:t>30.6. Industrial streams that are missing</w:t>
      </w:r>
    </w:p>
    <w:p>
      <w:pPr>
        <w:pStyle w:val="ListBullet"/>
      </w:pPr>
      <w:r>
        <w:t>Replacement of shell and power frame: 1.22 million t/yr with coatings, 12.17 million t/yr without them.</w:t>
      </w:r>
    </w:p>
    <w:p>
      <w:pPr>
        <w:pStyle w:val="ListBullet"/>
      </w:pPr>
      <w:r>
        <w:t>Unclosed domestic remainder: 127.9 thousand t/yr — requires a concrete utilisation technology.</w:t>
      </w:r>
    </w:p>
    <w:p>
      <w:pPr>
        <w:pStyle w:val="ListBullet"/>
      </w:pPr>
      <w:r>
        <w:t>Sewage 73 million m³/yr: closed water cycling with losses requires make-up from external sources (item 8.3).</w:t>
      </w:r>
    </w:p>
    <w:p>
      <w:pPr>
        <w:pStyle w:val="ListBullet"/>
      </w:pPr>
      <w:r>
        <w:t>Silicon, carbon, sulphur, phosphorus and trace elements are absent or deficient in M-type asteroids; a second source is needed.</w:t>
      </w:r>
    </w:p>
    <w:p>
      <w:pPr>
        <w:pStyle w:val="ListBullet"/>
      </w:pPr>
      <w:r>
        <w:t>Spent nuclear fuel and radioactive waste (item 18) — a separate circuit, not closed in the general balance.</w:t>
      </w:r>
    </w:p>
    <w:p/>
    <w:p>
      <w:pPr>
        <w:spacing w:before="200"/>
        <w:jc w:val="center"/>
      </w:pPr>
      <w:r>
        <w:rPr>
          <w:b/>
          <w:color w:val="2E5496"/>
          <w:sz w:val="17"/>
        </w:rPr>
        <w:t>СПИСОК ЛИТЕРАТУРЫ РАЗДЕЛА / REFERENCES OF THIS SECTION</w:t>
      </w:r>
    </w:p>
    <w:p>
      <w:pPr>
        <w:ind w:left="340" w:hanging="340"/>
      </w:pPr>
      <w:r>
        <w:rPr>
          <w:sz w:val="18"/>
        </w:rP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ind w:left="340" w:hanging="340"/>
      </w:pPr>
      <w:r>
        <w:rPr>
          <w:sz w:val="18"/>
        </w:rPr>
        <w:t>1. Treaty on Principles Governing the Activities of States in the Exploration and Use of Outer Space, including the Moon and Other Celestial Bodies. 27 January 1967. Articles II, VI, VIII.</w:t>
      </w:r>
    </w:p>
    <w:p>
      <w:pPr>
        <w:ind w:left="340" w:hanging="340"/>
      </w:pPr>
      <w:r>
        <w:rPr>
          <w:sz w:val="18"/>
        </w:rPr>
        <w:t>2. Space Resources and Space Settlements. NASA SP-428. Washington: NASA, 1979. [Материалы летнего исследования 1977 г.]</w:t>
      </w:r>
    </w:p>
    <w:p>
      <w:pPr>
        <w:ind w:left="340" w:hanging="340"/>
      </w:pPr>
      <w:r>
        <w:rPr>
          <w:sz w:val="18"/>
        </w:rPr>
        <w:t>2. Space Resources and Space Settlements. NASA SP-428. Washington: NASA, 1979. [Proceedings of the 1977 summer study.]</w:t>
      </w:r>
    </w:p>
    <w:p>
      <w:pPr>
        <w:ind w:left="340" w:hanging="340"/>
      </w:pPr>
      <w:r>
        <w:rPr>
          <w:sz w:val="18"/>
        </w:rPr>
        <w:t>3. Астероид (6178) 1986 DA: тип M, поперечник около 3 км, большая полуось 2,8216 а. е., эксцентриситет 0,5818, наклонение 4,31°, период 4,7 года. [Данные каталога малых тел; использованы в разделе 30.]</w:t>
      </w:r>
    </w:p>
    <w:p>
      <w:pPr>
        <w:ind w:left="340" w:hanging="340"/>
      </w:pPr>
      <w:r>
        <w:rPr>
          <w:sz w:val="18"/>
        </w:rPr>
        <w:t>3. Asteroid (6178) 1986 DA: type M, diameter about 3 km, semi-major axis 2.8216 AU, eccentricity 0.5818, inclination 4.31°, period 4.7 yr. [Minor-body catalogue data; used in section 30.]</w:t>
      </w:r>
    </w:p>
    <w:p>
      <w:pPr>
        <w:ind w:left="340" w:hanging="340"/>
      </w:pPr>
      <w:r>
        <w:rPr>
          <w:sz w:val="18"/>
        </w:rPr>
        <w:t>4. Мировой рекорд стальной отливки: 270 т металла, готовая деталь 9,78 × 3,3 × 3,1 м массой 220 т, охлаждение в форме до 300 °C — четыре недели (Siempelkamp, 2009).</w:t>
      </w:r>
    </w:p>
    <w:p>
      <w:pPr>
        <w:ind w:left="340" w:hanging="340"/>
      </w:pPr>
      <w:r>
        <w:rPr>
          <w:sz w:val="18"/>
        </w:rPr>
        <w:t>4. World record steel casting: 270 t of metal, finished component 9.78 × 3.3 × 3.1 m of 220 t mass, cooling in the mould to 300 °C — four weeks (Siempelkamp, 2009).</w:t>
      </w:r>
    </w:p>
    <w:p>
      <w:pPr>
        <w:ind w:left="340" w:hanging="340"/>
      </w:pPr>
      <w:r>
        <w:rPr>
          <w:sz w:val="18"/>
        </w:rPr>
        <w:t>5. Скорость атмосферной коррозии стали: около 0,01 мм/год без покрытия и 0,001 мм/год с лакокрасочным покрытием при мягком умеренном климате. [Использованы в п. 14.3 и разделе 30.]</w:t>
      </w:r>
    </w:p>
    <w:p>
      <w:pPr>
        <w:ind w:left="340" w:hanging="340"/>
      </w:pPr>
      <w:r>
        <w:rPr>
          <w:sz w:val="18"/>
        </w:rPr>
        <w:t>5. Atmospheric corrosion rate of steel: about 0.01 mm/yr without coating and 0.001 mm/yr with paint coating in a mild temperate climate. [Used in item 14.3 and section 30.]</w:t>
      </w:r>
    </w:p>
    <w:p>
      <w:r>
        <w:rPr>
          <w:b/>
          <w:sz w:val="18"/>
        </w:rPr>
        <w:t>Кроме того, раздел опирается на собственные допущения публикации:</w:t>
      </w:r>
    </w:p>
    <w:p>
      <w:pPr>
        <w:ind w:left="340" w:hanging="340"/>
      </w:pPr>
      <w:r>
        <w:rPr>
          <w:sz w:val="18"/>
        </w:rPr>
        <w:t>· Данные о ресурсных телах: астероид (6178) 1986 DA, тип M, поперечник около 3 км.</w:t>
      </w:r>
    </w:p>
    <w:p>
      <w:pPr>
        <w:ind w:left="340" w:hanging="340"/>
      </w:pPr>
      <w:r>
        <w:rPr>
          <w:sz w:val="18"/>
        </w:rPr>
        <w:t>· Resource-body data: asteroid (6178) 1986 DA, type M, diameter about 3 km.</w:t>
      </w:r>
    </w:p>
    <w:p>
      <w:pPr>
        <w:ind w:left="340" w:hanging="340"/>
      </w:pPr>
      <w:r>
        <w:rPr>
          <w:sz w:val="18"/>
        </w:rPr>
        <w:t>· Технологические пределы: мировой рекорд стальной отливки — 270 т металла, готовая деталь 220 т.</w:t>
      </w:r>
    </w:p>
    <w:p>
      <w:pPr>
        <w:ind w:left="340" w:hanging="340"/>
      </w:pPr>
      <w:r>
        <w:rPr>
          <w:sz w:val="18"/>
        </w:rPr>
        <w:t>· Technological limits: world-record steel casting — 270 t of metal, 220 t component.</w:t>
      </w:r>
    </w:p>
    <w:p>
      <w:pPr>
        <w:ind w:left="340" w:hanging="340"/>
      </w:pPr>
      <w:r>
        <w:rPr>
          <w:sz w:val="18"/>
        </w:rPr>
        <w:t>· Правовые акты: Договор о принципах деятельности государств по исследованию и использованию космического пространства, 1967 г., ст. II, VI, VIII.</w:t>
      </w:r>
    </w:p>
    <w:p>
      <w:pPr>
        <w:ind w:left="340" w:hanging="340"/>
      </w:pPr>
      <w:r>
        <w:rPr>
          <w:sz w:val="18"/>
        </w:rPr>
        <w:t>· Legal acts: Outer Space Treaty, 1967, Articles II, VI, VIII.</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