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31 / Section 31</w:t>
      </w:r>
    </w:p>
    <w:p>
      <w:pPr>
        <w:jc w:val="center"/>
      </w:pPr>
      <w:r>
        <w:rPr>
          <w:b/>
          <w:color w:val="1F3864"/>
          <w:sz w:val="26"/>
        </w:rPr>
        <w:t>31. СТЫКОВОЧНЫЙ МОДУЛЬ: КОНЦЕПЦИЯ</w:t>
      </w:r>
    </w:p>
    <w:p>
      <w:pPr>
        <w:jc w:val="center"/>
      </w:pPr>
      <w:r>
        <w:rPr>
          <w:b/>
          <w:color w:val="1F3864"/>
          <w:sz w:val="26"/>
        </w:rPr>
        <w:t>31. DOCKING MODULE: CONCEPT</w:t>
      </w:r>
    </w:p>
    <w:p>
      <w:pPr>
        <w:jc w:val="center"/>
      </w:pPr>
      <w:r>
        <w:rPr>
          <w:i/>
          <w:sz w:val="17"/>
        </w:rPr>
        <w:t>Редакция 8 · 31 октября 2026 г.  ·  документ 33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pPr>
      <w:r>
        <w:t>31. СТЫКОВОЧНЫЙ МОДУЛЬ: КОНЦЕПЦИЯ</w:t>
      </w:r>
    </w:p>
    <w:p>
      <w:r>
        <w:t>Пункт 4.7 устанавливает архитектуру стыковки: причальные устройства размещаются на неподвижной ферменной раме, относительная скорость при стыковке равна нулю, переход на вращающуюся поверхность выполняется через подшипниковый узел и наклонные шахты. Настоящий раздел доводит эту архитектуру до уровня концепции модуля с числами.</w:t>
      </w:r>
    </w:p>
    <w:p>
      <w:pPr>
        <w:pStyle w:val="Heading2"/>
      </w:pPr>
      <w:r>
        <w:t>31.1. Почему стыковка возможна только на раме</w:t>
      </w:r>
    </w:p>
    <w:p>
      <w:r>
        <w:t>Линейная скорость точки на жилой поверхности составляет 221,5 м/с, то есть 797 км/ч. Стыковка с вращающейся оболочкой требовала бы либо точного согласования этой скорости, либо торможения на ней — оба варианта недопустимы. Неподвижная рама снимает проблему полностью: на ней относительная скорость нуль, и стыковка ничем не отличается от орбитальной.</w:t>
      </w:r>
    </w:p>
    <w:p>
      <w:pPr>
        <w:pStyle w:val="Heading2"/>
      </w:pPr>
      <w:r>
        <w:t>31.2. Опорный узел</w:t>
      </w:r>
    </w:p>
    <w:p>
      <w:r>
        <w:t>Каждый цилиндр опирается на два внешних неподвижных рамных узла через осевую цапфу и подшипниковый корпус. Опорный узел выполнен активным магнитным радиально-осевым подшипником с механическими аварийными ловителями; в каждом из четырёх торцевых узлов — два независимых магнитных контура. Силовое кольцо подшипника имеет диаметр 400 м при ширине 3 м.</w:t>
      </w:r>
    </w:p>
    <w:p>
      <w:pPr>
        <w:pStyle w:val="Caption"/>
        <w:jc w:val="center"/>
      </w:pPr>
      <w:r>
        <w:t>Таблица 31.1 — Опорный узел (по п. 4.7 и п. 4.11)</w:t>
      </w:r>
    </w:p>
    <w:tbl>
      <w:tblPr>
        <w:tblStyle w:val="TableGrid"/>
        <w:tblW w:type="auto" w:w="0"/>
        <w:jc w:val="center"/>
        <w:tblLayout w:type="fixed"/>
        <w:tblLook w:firstColumn="1" w:firstRow="1" w:lastColumn="0" w:lastRow="0" w:noHBand="0" w:noVBand="1" w:val="04A0"/>
      </w:tblPr>
      <w:tblGrid>
        <w:gridCol w:w="4734"/>
        <w:gridCol w:w="4734"/>
      </w:tblGrid>
      <w:tr>
        <w:tc>
          <w:tcPr>
            <w:tcW w:type="dxa" w:w="3742"/>
            <w:shd w:val="clear" w:fill="DEEAF6"/>
          </w:tcPr>
          <w:p>
            <w:pPr>
              <w:jc w:val="center"/>
            </w:pPr>
            <w:r>
              <w:rPr>
                <w:b/>
                <w:sz w:val="16"/>
              </w:rPr>
              <w:t>Параметр</w:t>
            </w:r>
          </w:p>
        </w:tc>
        <w:tc>
          <w:tcPr>
            <w:tcW w:type="dxa" w:w="2835"/>
            <w:shd w:val="clear" w:fill="DEEAF6"/>
          </w:tcPr>
          <w:p>
            <w:pPr>
              <w:jc w:val="center"/>
            </w:pPr>
            <w:r>
              <w:rPr>
                <w:b/>
                <w:sz w:val="16"/>
              </w:rPr>
              <w:t>Величина</w:t>
            </w:r>
          </w:p>
        </w:tc>
      </w:tr>
      <w:tr>
        <w:tc>
          <w:tcPr>
            <w:tcW w:type="dxa" w:w="3742"/>
          </w:tcPr>
          <w:p>
            <w:r>
              <w:rPr>
                <w:sz w:val="16"/>
              </w:rPr>
              <w:t>Диаметр опорного кольца</w:t>
            </w:r>
          </w:p>
        </w:tc>
        <w:tc>
          <w:tcPr>
            <w:tcW w:type="dxa" w:w="2835"/>
          </w:tcPr>
          <w:p>
            <w:pPr>
              <w:jc w:val="center"/>
            </w:pPr>
            <w:r>
              <w:rPr>
                <w:sz w:val="16"/>
              </w:rPr>
              <w:t>400 м</w:t>
            </w:r>
          </w:p>
        </w:tc>
      </w:tr>
      <w:tr>
        <w:tc>
          <w:tcPr>
            <w:tcW w:type="dxa" w:w="3742"/>
          </w:tcPr>
          <w:p>
            <w:r>
              <w:rPr>
                <w:sz w:val="16"/>
              </w:rPr>
              <w:t>Площадь кольца</w:t>
            </w:r>
          </w:p>
        </w:tc>
        <w:tc>
          <w:tcPr>
            <w:tcW w:type="dxa" w:w="2835"/>
          </w:tcPr>
          <w:p>
            <w:pPr>
              <w:jc w:val="center"/>
            </w:pPr>
            <w:r>
              <w:rPr>
                <w:sz w:val="16"/>
              </w:rPr>
              <w:t>125 664 м²</w:t>
            </w:r>
          </w:p>
        </w:tc>
      </w:tr>
      <w:tr>
        <w:tc>
          <w:tcPr>
            <w:tcW w:type="dxa" w:w="3742"/>
          </w:tcPr>
          <w:p>
            <w:r>
              <w:rPr>
                <w:sz w:val="16"/>
              </w:rPr>
              <w:t>Длина окружности кольца</w:t>
            </w:r>
          </w:p>
        </w:tc>
        <w:tc>
          <w:tcPr>
            <w:tcW w:type="dxa" w:w="2835"/>
          </w:tcPr>
          <w:p>
            <w:pPr>
              <w:jc w:val="center"/>
            </w:pPr>
            <w:r>
              <w:rPr>
                <w:sz w:val="16"/>
              </w:rPr>
              <w:t>1 257 м</w:t>
            </w:r>
          </w:p>
        </w:tc>
      </w:tr>
      <w:tr>
        <w:tc>
          <w:tcPr>
            <w:tcW w:type="dxa" w:w="3742"/>
          </w:tcPr>
          <w:p>
            <w:r>
              <w:rPr>
                <w:sz w:val="16"/>
              </w:rPr>
              <w:t>Радиальных коробчатых элементов</w:t>
            </w:r>
          </w:p>
        </w:tc>
        <w:tc>
          <w:tcPr>
            <w:tcW w:type="dxa" w:w="2835"/>
          </w:tcPr>
          <w:p>
            <w:pPr>
              <w:jc w:val="center"/>
            </w:pPr>
            <w:r>
              <w:rPr>
                <w:sz w:val="16"/>
              </w:rPr>
              <w:t>24</w:t>
            </w:r>
          </w:p>
        </w:tc>
      </w:tr>
      <w:tr>
        <w:tc>
          <w:tcPr>
            <w:tcW w:type="dxa" w:w="3742"/>
          </w:tcPr>
          <w:p>
            <w:r>
              <w:rPr>
                <w:sz w:val="16"/>
              </w:rPr>
              <w:t>Шаг элементов</w:t>
            </w:r>
          </w:p>
        </w:tc>
        <w:tc>
          <w:tcPr>
            <w:tcW w:type="dxa" w:w="2835"/>
          </w:tcPr>
          <w:p>
            <w:pPr>
              <w:jc w:val="center"/>
            </w:pPr>
            <w:r>
              <w:rPr>
                <w:sz w:val="16"/>
              </w:rPr>
              <w:t>15°</w:t>
            </w:r>
          </w:p>
        </w:tc>
      </w:tr>
      <w:tr>
        <w:tc>
          <w:tcPr>
            <w:tcW w:type="dxa" w:w="3742"/>
          </w:tcPr>
          <w:p>
            <w:r>
              <w:rPr>
                <w:sz w:val="16"/>
              </w:rPr>
              <w:t>Расчётное сечение элемента</w:t>
            </w:r>
          </w:p>
        </w:tc>
        <w:tc>
          <w:tcPr>
            <w:tcW w:type="dxa" w:w="2835"/>
          </w:tcPr>
          <w:p>
            <w:pPr>
              <w:jc w:val="center"/>
            </w:pPr>
            <w:r>
              <w:rPr>
                <w:sz w:val="16"/>
              </w:rPr>
              <w:t>2,5 м² (оценка)</w:t>
            </w:r>
          </w:p>
        </w:tc>
      </w:tr>
      <w:tr>
        <w:tc>
          <w:tcPr>
            <w:tcW w:type="dxa" w:w="3742"/>
          </w:tcPr>
          <w:p>
            <w:r>
              <w:rPr>
                <w:sz w:val="16"/>
              </w:rPr>
              <w:t>Окружная скорость обшивки</w:t>
            </w:r>
          </w:p>
        </w:tc>
        <w:tc>
          <w:tcPr>
            <w:tcW w:type="dxa" w:w="2835"/>
          </w:tcPr>
          <w:p>
            <w:pPr>
              <w:jc w:val="center"/>
            </w:pPr>
            <w:r>
              <w:rPr>
                <w:sz w:val="16"/>
              </w:rPr>
              <w:t>221,5 м/с (797 км/ч)</w:t>
            </w:r>
          </w:p>
        </w:tc>
      </w:tr>
    </w:tbl>
    <w:p>
      <w:pPr>
        <w:pStyle w:val="Heading2"/>
      </w:pPr>
      <w:r>
        <w:t>31.3. Состав стыковочного модуля</w:t>
      </w:r>
    </w:p>
    <w:p>
      <w:r>
        <w:t>Модуль размещается на передней раме, перед передними торцами цилиндров. Предварительная оценка массы — 12 000 т при трёх шлюзах по 850 м³. Объём воздуха в шлюзах 2 550 м³, масса воздуха около 3,1 т. Энергопотребление на цикл стыковки — 1,8 ГДж.</w:t>
      </w:r>
    </w:p>
    <w:p>
      <w:pPr>
        <w:pStyle w:val="Heading2"/>
      </w:pPr>
      <w:r>
        <w:t>31.4. Пропускная способность и карантин</w:t>
      </w:r>
    </w:p>
    <w:p>
      <w:r>
        <w:t>Транспортная система пропускает 500 000 человек примерно за 7,7 суток при полной работе, то есть около 65 000 человек в сутки на цилиндр. Карантинный контур (п. 9) требует сорокасуточной выдержки, что при такой пропускной способности даёт потребность в 2 597 403 карантинных местах единовременно — больше, чем население цилиндра.</w:t>
      </w:r>
    </w:p>
    <w:p>
      <w:r>
        <w:t>Это главное ограничение темпа заселения. Вывод, уже сделанный в п. 9.2, остаётся в силе и уточняется: заселение идёт не по пределу транспорта, а по пределу карантина. Стыковочный модуль должен проектироваться под темп, определяемый карантинным контуром, а не под темп, определяемый грузопотоком.</w:t>
      </w:r>
    </w:p>
    <w:p>
      <w:pPr>
        <w:pStyle w:val="Heading2"/>
      </w:pPr>
      <w:r>
        <w:t>31.5. Грузооборот</w:t>
      </w:r>
    </w:p>
    <w:p>
      <w:r>
        <w:t>Предварительная оценка грузопотока — 1,5 млн т/год, или 4 110 т/сут. Сюда входят грузы с Земли и доставляемые астероидные ресурсы. Модуль должен обеспечивать как пассажирские потоки, так и массовый грузовой приём с разделением карантинных маршрутов.</w:t>
      </w:r>
    </w:p>
    <w:p>
      <w:pPr>
        <w:pStyle w:val="Heading2"/>
      </w:pPr>
      <w:r>
        <w:t>31.6. Проектные положения</w:t>
      </w:r>
    </w:p>
    <w:p>
      <w:pPr>
        <w:pStyle w:val="ListBullet"/>
      </w:pPr>
      <w:r>
        <w:t>Стыковка только на неподвижной раме; согласование с вращающейся оболочкой запрещено как класс.</w:t>
      </w:r>
    </w:p>
    <w:p>
      <w:pPr>
        <w:pStyle w:val="ListBullet"/>
      </w:pPr>
      <w:r>
        <w:t>Опорный узел: активный магнитный подшипник с двумя независимыми контурами и механическими аварийными ловителями.</w:t>
      </w:r>
    </w:p>
    <w:p>
      <w:pPr>
        <w:pStyle w:val="ListBullet"/>
      </w:pPr>
      <w:r>
        <w:t>Модуль 12 000 т, три шлюза по 850 м³; энергопотребление 1,8 ГДж на цикл.</w:t>
      </w:r>
    </w:p>
    <w:p>
      <w:pPr>
        <w:pStyle w:val="ListBullet"/>
      </w:pPr>
      <w:r>
        <w:t>Темп заселения определяется карантинным контуром (2 597 403 места при полном темпе), не транспортом.</w:t>
      </w:r>
    </w:p>
    <w:p>
      <w:pPr>
        <w:pStyle w:val="ListBullet"/>
      </w:pPr>
      <w:r>
        <w:t>Грузовой приём 4 110 т/сут с разделением карантинных маршрутов для людей, живого и грузов.</w:t>
      </w:r>
    </w:p>
    <w:p>
      <w:pPr>
        <w:spacing w:before="200"/>
        <w:jc w:val="center"/>
      </w:pPr>
      <w:r>
        <w:rPr>
          <w:b/>
          <w:color w:val="2E5496"/>
          <w:sz w:val="17"/>
        </w:rPr>
        <w:t>ENGLISH EDITION</w:t>
      </w:r>
    </w:p>
    <w:p>
      <w:pPr>
        <w:pStyle w:val="Heading1"/>
      </w:pPr>
      <w:r>
        <w:t>31. DOCKING MODULE: CONCEPT</w:t>
      </w:r>
    </w:p>
    <w:p>
      <w:r>
        <w:t>Item 4.7 establishes the docking architecture: docking facilities are placed on the non-rotating truss frame, relative velocity at docking is zero, transfer to the rotating surface runs through the bearing assembly and inclined shafts. The present section brings this architecture to the level of a module concept with numbers.</w:t>
      </w:r>
    </w:p>
    <w:p>
      <w:pPr>
        <w:pStyle w:val="Heading2"/>
      </w:pPr>
      <w:r>
        <w:t>31.1. Why docking is possible only on the frame</w:t>
      </w:r>
    </w:p>
    <w:p>
      <w:r>
        <w:t>Linear velocity of a point on the living surface is 221.5 m/s, that is 797 km/h. Docking to a rotating shell would require either exact matching of that velocity or braking on it — both inadmissible. The non-rotating frame removes the problem entirely: relative velocity on it is zero, and docking is indistinguishable from orbital.</w:t>
      </w:r>
    </w:p>
    <w:p>
      <w:pPr>
        <w:pStyle w:val="Heading2"/>
      </w:pPr>
      <w:r>
        <w:t>31.2. Support assembly</w:t>
      </w:r>
    </w:p>
    <w:p>
      <w:r>
        <w:t>Each cylinder is supported on two external non-rotating frame assemblies through an axial trunnion and a bearing housing. The support assembly is an active magnetic radial-axial bearing with mechanical emergency catchers; each of the four end assemblies carries two independent magnetic circuits. The bearing force ring has a diameter of 400 m at a width of 3 m.</w:t>
      </w:r>
    </w:p>
    <w:p>
      <w:pPr>
        <w:pStyle w:val="Caption"/>
        <w:jc w:val="center"/>
      </w:pPr>
      <w:r>
        <w:t>Table 31.1 — Support assembly (from items 4.7 and 4.11)</w:t>
      </w:r>
    </w:p>
    <w:tbl>
      <w:tblPr>
        <w:tblStyle w:val="TableGrid"/>
        <w:tblW w:type="auto" w:w="0"/>
        <w:jc w:val="center"/>
        <w:tblLayout w:type="fixed"/>
        <w:tblLook w:firstColumn="1" w:firstRow="1" w:lastColumn="0" w:lastRow="0" w:noHBand="0" w:noVBand="1" w:val="04A0"/>
      </w:tblPr>
      <w:tblGrid>
        <w:gridCol w:w="4734"/>
        <w:gridCol w:w="4734"/>
      </w:tblGrid>
      <w:tr>
        <w:tc>
          <w:tcPr>
            <w:tcW w:type="dxa" w:w="3742"/>
            <w:shd w:val="clear" w:fill="DEEAF6"/>
          </w:tcPr>
          <w:p>
            <w:pPr>
              <w:jc w:val="center"/>
            </w:pPr>
            <w:r>
              <w:rPr>
                <w:b/>
                <w:sz w:val="16"/>
              </w:rPr>
              <w:t>Parameter</w:t>
            </w:r>
          </w:p>
        </w:tc>
        <w:tc>
          <w:tcPr>
            <w:tcW w:type="dxa" w:w="2835"/>
            <w:shd w:val="clear" w:fill="DEEAF6"/>
          </w:tcPr>
          <w:p>
            <w:pPr>
              <w:jc w:val="center"/>
            </w:pPr>
            <w:r>
              <w:rPr>
                <w:b/>
                <w:sz w:val="16"/>
              </w:rPr>
              <w:t>Value</w:t>
            </w:r>
          </w:p>
        </w:tc>
      </w:tr>
      <w:tr>
        <w:tc>
          <w:tcPr>
            <w:tcW w:type="dxa" w:w="3742"/>
          </w:tcPr>
          <w:p>
            <w:r>
              <w:rPr>
                <w:sz w:val="16"/>
              </w:rPr>
              <w:t>Support ring diameter</w:t>
            </w:r>
          </w:p>
        </w:tc>
        <w:tc>
          <w:tcPr>
            <w:tcW w:type="dxa" w:w="2835"/>
          </w:tcPr>
          <w:p>
            <w:pPr>
              <w:jc w:val="center"/>
            </w:pPr>
            <w:r>
              <w:rPr>
                <w:sz w:val="16"/>
              </w:rPr>
              <w:t>400 m</w:t>
            </w:r>
          </w:p>
        </w:tc>
      </w:tr>
      <w:tr>
        <w:tc>
          <w:tcPr>
            <w:tcW w:type="dxa" w:w="3742"/>
          </w:tcPr>
          <w:p>
            <w:r>
              <w:rPr>
                <w:sz w:val="16"/>
              </w:rPr>
              <w:t>Ring area</w:t>
            </w:r>
          </w:p>
        </w:tc>
        <w:tc>
          <w:tcPr>
            <w:tcW w:type="dxa" w:w="2835"/>
          </w:tcPr>
          <w:p>
            <w:pPr>
              <w:jc w:val="center"/>
            </w:pPr>
            <w:r>
              <w:rPr>
                <w:sz w:val="16"/>
              </w:rPr>
              <w:t>125,664 m²</w:t>
            </w:r>
          </w:p>
        </w:tc>
      </w:tr>
      <w:tr>
        <w:tc>
          <w:tcPr>
            <w:tcW w:type="dxa" w:w="3742"/>
          </w:tcPr>
          <w:p>
            <w:r>
              <w:rPr>
                <w:sz w:val="16"/>
              </w:rPr>
              <w:t>Ring circumference</w:t>
            </w:r>
          </w:p>
        </w:tc>
        <w:tc>
          <w:tcPr>
            <w:tcW w:type="dxa" w:w="2835"/>
          </w:tcPr>
          <w:p>
            <w:pPr>
              <w:jc w:val="center"/>
            </w:pPr>
            <w:r>
              <w:rPr>
                <w:sz w:val="16"/>
              </w:rPr>
              <w:t>1,257 m</w:t>
            </w:r>
          </w:p>
        </w:tc>
      </w:tr>
      <w:tr>
        <w:tc>
          <w:tcPr>
            <w:tcW w:type="dxa" w:w="3742"/>
          </w:tcPr>
          <w:p>
            <w:r>
              <w:rPr>
                <w:sz w:val="16"/>
              </w:rPr>
              <w:t>Radial box elements</w:t>
            </w:r>
          </w:p>
        </w:tc>
        <w:tc>
          <w:tcPr>
            <w:tcW w:type="dxa" w:w="2835"/>
          </w:tcPr>
          <w:p>
            <w:pPr>
              <w:jc w:val="center"/>
            </w:pPr>
            <w:r>
              <w:rPr>
                <w:sz w:val="16"/>
              </w:rPr>
              <w:t>24</w:t>
            </w:r>
          </w:p>
        </w:tc>
      </w:tr>
      <w:tr>
        <w:tc>
          <w:tcPr>
            <w:tcW w:type="dxa" w:w="3742"/>
          </w:tcPr>
          <w:p>
            <w:r>
              <w:rPr>
                <w:sz w:val="16"/>
              </w:rPr>
              <w:t>Element pitch</w:t>
            </w:r>
          </w:p>
        </w:tc>
        <w:tc>
          <w:tcPr>
            <w:tcW w:type="dxa" w:w="2835"/>
          </w:tcPr>
          <w:p>
            <w:pPr>
              <w:jc w:val="center"/>
            </w:pPr>
            <w:r>
              <w:rPr>
                <w:sz w:val="16"/>
              </w:rPr>
              <w:t>15°</w:t>
            </w:r>
          </w:p>
        </w:tc>
      </w:tr>
      <w:tr>
        <w:tc>
          <w:tcPr>
            <w:tcW w:type="dxa" w:w="3742"/>
          </w:tcPr>
          <w:p>
            <w:r>
              <w:rPr>
                <w:sz w:val="16"/>
              </w:rPr>
              <w:t>Design section per element</w:t>
            </w:r>
          </w:p>
        </w:tc>
        <w:tc>
          <w:tcPr>
            <w:tcW w:type="dxa" w:w="2835"/>
          </w:tcPr>
          <w:p>
            <w:pPr>
              <w:jc w:val="center"/>
            </w:pPr>
            <w:r>
              <w:rPr>
                <w:sz w:val="16"/>
              </w:rPr>
              <w:t>2.5 m² (estimate)</w:t>
            </w:r>
          </w:p>
        </w:tc>
      </w:tr>
      <w:tr>
        <w:tc>
          <w:tcPr>
            <w:tcW w:type="dxa" w:w="3742"/>
          </w:tcPr>
          <w:p>
            <w:r>
              <w:rPr>
                <w:sz w:val="16"/>
              </w:rPr>
              <w:t>Circumferential velocity of shell</w:t>
            </w:r>
          </w:p>
        </w:tc>
        <w:tc>
          <w:tcPr>
            <w:tcW w:type="dxa" w:w="2835"/>
          </w:tcPr>
          <w:p>
            <w:pPr>
              <w:jc w:val="center"/>
            </w:pPr>
            <w:r>
              <w:rPr>
                <w:sz w:val="16"/>
              </w:rPr>
              <w:t>221.5 m/s (797 km/h)</w:t>
            </w:r>
          </w:p>
        </w:tc>
      </w:tr>
    </w:tbl>
    <w:p>
      <w:pPr>
        <w:pStyle w:val="Heading2"/>
      </w:pPr>
      <w:r>
        <w:t>31.3. Docking module composition</w:t>
      </w:r>
    </w:p>
    <w:p>
      <w:r>
        <w:t>The module is placed on the forward frame, ahead of the forward end caps of the cylinders. Preliminary mass estimate is 12,000 t with three airlocks of 850 m³ each. Air volume in the locks is 2,550 m³, air mass about 3.1 t. Energy consumption per docking cycle is 1.8 GJ.</w:t>
      </w:r>
    </w:p>
    <w:p>
      <w:pPr>
        <w:pStyle w:val="Heading2"/>
      </w:pPr>
      <w:r>
        <w:t>31.4. Throughput and quarantine</w:t>
      </w:r>
    </w:p>
    <w:p>
      <w:r>
        <w:t>The transport system moves 500,000 people in about 7.7 days at full operation, that is about 65,000 people per day per cylinder. The quarantine circuit (item 9) requires a 40-day hold, which at that throughput gives a simultaneous need for 2,597,403 quarantine places — more than the population of a cylinder.</w:t>
      </w:r>
    </w:p>
    <w:p>
      <w:r>
        <w:t>This is the main constraint on the pace of settlement. The conclusion already drawn in item 9.2 stands and is refined: settlement is limited not by transport but by quarantine. The docking module must be designed for a pace set by the quarantine circuit, not by freight flow.</w:t>
      </w:r>
    </w:p>
    <w:p>
      <w:pPr>
        <w:pStyle w:val="Heading2"/>
      </w:pPr>
      <w:r>
        <w:t>31.5. Freight turnover</w:t>
      </w:r>
    </w:p>
    <w:p>
      <w:r>
        <w:t>Preliminary freight-flow estimate is 1.5 million t/yr, or 4,110 t/day. It includes cargo from Earth and delivered asteroid resources. The module must provide both passenger flow and mass freight intake with separated quarantine routes.</w:t>
      </w:r>
    </w:p>
    <w:p>
      <w:pPr>
        <w:pStyle w:val="Heading2"/>
      </w:pPr>
      <w:r>
        <w:t>31.6. Design requirements</w:t>
      </w:r>
    </w:p>
    <w:p>
      <w:pPr>
        <w:pStyle w:val="ListBullet"/>
      </w:pPr>
      <w:r>
        <w:t>Docking only on the non-rotating frame; matching to the rotating shell is forbidden as a class.</w:t>
      </w:r>
    </w:p>
    <w:p>
      <w:pPr>
        <w:pStyle w:val="ListBullet"/>
      </w:pPr>
      <w:r>
        <w:t>Support assembly: active magnetic bearing with two independent circuits and mechanical emergency catchers.</w:t>
      </w:r>
    </w:p>
    <w:p>
      <w:pPr>
        <w:pStyle w:val="ListBullet"/>
      </w:pPr>
      <w:r>
        <w:t>Module 12,000 t, three airlocks of 850 m³; energy consumption 1.8 GJ per cycle.</w:t>
      </w:r>
    </w:p>
    <w:p>
      <w:pPr>
        <w:pStyle w:val="ListBullet"/>
      </w:pPr>
      <w:r>
        <w:t>Pace of settlement is set by the quarantine circuit (2,597,403 places at full pace), not by transport.</w:t>
      </w:r>
    </w:p>
    <w:p>
      <w:pPr>
        <w:pStyle w:val="ListBullet"/>
      </w:pPr>
      <w:r>
        <w:t>Freight intake 4,110 t/day with separated quarantine routes for people, livestock and cargo.</w:t>
      </w:r>
    </w:p>
    <w:p/>
    <w:p>
      <w:pPr>
        <w:spacing w:before="200"/>
        <w:jc w:val="center"/>
      </w:pPr>
      <w:r>
        <w:rPr>
          <w:b/>
          <w:color w:val="2E5496"/>
          <w:sz w:val="17"/>
        </w:rPr>
        <w:t>СПИСОК ЛИТЕРАТУРЫ РАЗДЕЛА / REFERENCES OF THIS SECTION</w:t>
      </w:r>
    </w:p>
    <w:p>
      <w:r>
        <w:rPr>
          <w:b/>
          <w:sz w:val="18"/>
        </w:rPr>
        <w:t>Кроме того, раздел опирается на собственные допущения публикации:</w:t>
      </w:r>
    </w:p>
    <w:p>
      <w:pPr>
        <w:ind w:left="340" w:hanging="340"/>
      </w:pPr>
      <w:r>
        <w:rPr>
          <w:sz w:val="18"/>
        </w:rPr>
        <w:t>· Транспорт и стыковка: осевые рамы, цапфы, подшипниковые корпуса и переходные шахты являются концептуальной архитектурой.</w:t>
      </w:r>
    </w:p>
    <w:p>
      <w:pPr>
        <w:ind w:left="340" w:hanging="340"/>
      </w:pPr>
      <w:r>
        <w:rPr>
          <w:sz w:val="18"/>
        </w:rPr>
        <w:t>· Transport and docking: axial frames, trunnions, bearing housings and transition shafts are conceptual architecture.</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