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32 / Section 32</w:t>
      </w:r>
    </w:p>
    <w:p>
      <w:pPr>
        <w:jc w:val="center"/>
      </w:pPr>
      <w:r>
        <w:rPr>
          <w:b/>
          <w:color w:val="1F3864"/>
          <w:sz w:val="26"/>
        </w:rPr>
        <w:t>32. КОШКИ В ЭКОСИСТЕМЕ</w:t>
      </w:r>
    </w:p>
    <w:p>
      <w:pPr>
        <w:jc w:val="center"/>
      </w:pPr>
      <w:r>
        <w:rPr>
          <w:b/>
          <w:color w:val="1F3864"/>
          <w:sz w:val="26"/>
        </w:rPr>
        <w:t>32. CATS IN THE ECOSYSTEM</w:t>
      </w:r>
    </w:p>
    <w:p>
      <w:pPr>
        <w:jc w:val="center"/>
      </w:pPr>
      <w:r>
        <w:rPr>
          <w:i/>
          <w:sz w:val="17"/>
        </w:rPr>
        <w:t>Редакция 8 · 31 октября 2026 г.  ·  документ 34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</w:pPr>
      <w:r>
        <w:t>32. КОШКИ В ЭКОСИСТЕМЕ</w:t>
      </w:r>
    </w:p>
    <w:p>
      <w:r>
        <w:t>Пункт 6.3 вводит минимально необходимое сообщество животных: опылителей, почвообразователей, санитаров-разлагателей и естественных врагов вредителей. Кошки в этом перечне отсутствуют, и настоящий раздел отвечает на вопрос, должны ли они быть включены и какими требованиями это сопровождается.</w:t>
      </w:r>
    </w:p>
    <w:p>
      <w:pPr>
        <w:pStyle w:val="Heading2"/>
      </w:pPr>
      <w:r>
        <w:t>32.1. Две роли, а не одна</w:t>
      </w:r>
    </w:p>
    <w:p>
      <w:r>
        <w:t>Кошки выполняют в замкнутой системе две различные функции. Первая — служебная: защита зернохранилищ от грызунов. Вторая — содержание как животные: присутствие в жизненной среде человека. Эти роли требуют разного поголовья и разных условий, и путать их нельзя.</w:t>
      </w:r>
    </w:p>
    <w:p>
      <w:pPr>
        <w:pStyle w:val="Heading2"/>
      </w:pPr>
      <w:r>
        <w:t>32.2. Служебная потребность</w:t>
      </w:r>
    </w:p>
    <w:p>
      <w:r>
        <w:t>Запасы зерна в хранилище составляют около 204 тыс. т, что при насыпной плотности 0,75 т/м³ и высоте укладки 6 м даёт объём 271 тыс. м³ и площадь 0,045 км². При норме одной кошки на 1 200 м² хранилища служебная потребность составляет 38 голов на два цилиндра — величину, которую легко недооценить.</w:t>
      </w:r>
    </w:p>
    <w:p>
      <w:pPr>
        <w:pStyle w:val="Heading2"/>
      </w:pPr>
      <w:r>
        <w:t>32.3. Поголовье при содержании</w:t>
      </w:r>
    </w:p>
    <w:p>
      <w:r>
        <w:t>При норме 6 кошек на 1 000 жителей поголовье составляет 6 000 голов, по 3 000 на цилиндр, то есть 0,6 % населения. Служебная доля из них — 38 голов; остальные 5 962 являются животными содержания. Именно они определяют кормовую потребность, а не борьба с грызунами.</w:t>
      </w:r>
    </w:p>
    <w:p>
      <w:pPr>
        <w:pStyle w:val="Caption"/>
        <w:jc w:val="center"/>
      </w:pPr>
      <w:r>
        <w:t>Таблица 32.1 — Кошки: численность и кормовая потребность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Величина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Зерно в хранилище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204 тыс. т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Объём хранилища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271 тыс. м³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Площадь хранилища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0,045 км²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Служебная потребность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38 голов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Поголовье при содержании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6 000 голов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На цилиндр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3 000 голов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Корм на голову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169,7 ккал/сут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Корм всего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92,9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Белок в корме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29,7 т/год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Животная доля корма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60,4 т/год</w:t>
            </w:r>
          </w:p>
        </w:tc>
      </w:tr>
    </w:tbl>
    <w:p>
      <w:pPr>
        <w:pStyle w:val="Heading2"/>
      </w:pPr>
      <w:r>
        <w:t>32.4. Корм: обязательные компоненты</w:t>
      </w:r>
    </w:p>
    <w:p>
      <w:r>
        <w:t>Кошка — обязательный хищник. Таурин, арахидоновая кислота и предшествующий витамин A не синтезируются в её организме и могут поступать только из животной ткани; растительный корм их не содержит. Поэтому животная доля корма принимается равной 65 %, что даёт 60,4 т животного сырья в год.</w:t>
      </w:r>
    </w:p>
    <w:p>
      <w:r>
        <w:t>Источники два. Первый — отходы разделки рыбы: при товарной продукции 70 000 т/год и доле отходов 30 % это 21 000 т/год, что в 350 раз превосходит потребность. Второй — сухая мука из личинок чёрной львинки (раздел 33): при доле 35 % в корме потребность составляет 21 т/год.</w:t>
      </w:r>
    </w:p>
    <w:p>
      <w:pPr>
        <w:pStyle w:val="Heading2"/>
      </w:pPr>
      <w:r>
        <w:t>32.5. Ограничения и риски</w:t>
      </w:r>
    </w:p>
    <w:p>
      <w:pPr>
        <w:pStyle w:val="ListBullet"/>
      </w:pPr>
      <w:r>
        <w:t>Токсоплазмоз: около 30 % поголовья являются носителями. Требуется изолирование беременных и планирование помещений кошек вдали от детских и медицинских зон.</w:t>
      </w:r>
    </w:p>
    <w:p>
      <w:pPr>
        <w:pStyle w:val="ListBullet"/>
      </w:pPr>
      <w:r>
        <w:t>Птицы: кошки — универсальные хищники и будут уничтожать наземно гнездящихся птиц, если те включены в экосистему. Требуется пространственное разделение зон кошек и птицеводства.</w:t>
      </w:r>
    </w:p>
    <w:p>
      <w:pPr>
        <w:pStyle w:val="ListBullet"/>
      </w:pPr>
      <w:r>
        <w:t>Зернохранилища: служебные кошки должны иметь доступ к хранилищам, но не к жилым зонам.</w:t>
      </w:r>
    </w:p>
    <w:p>
      <w:pPr>
        <w:pStyle w:val="ListBullet"/>
      </w:pPr>
      <w:r>
        <w:t>Генетика: 6 000 голов при небольшом начальном контингенте создают собственный эффект основателя; требуется отдельный реестр родства (см. раздел 28).</w:t>
      </w:r>
    </w:p>
    <w:p>
      <w:pPr>
        <w:pStyle w:val="Heading2"/>
      </w:pPr>
      <w:r>
        <w:t>32.6. Проектные положения</w:t>
      </w:r>
    </w:p>
    <w:p>
      <w:pPr>
        <w:pStyle w:val="ListBullet"/>
      </w:pPr>
      <w:r>
        <w:t>Кошки включаются в экосистему с разделением служебной и содержательной ролей.</w:t>
      </w:r>
    </w:p>
    <w:p>
      <w:pPr>
        <w:pStyle w:val="ListBullet"/>
      </w:pPr>
      <w:r>
        <w:t>Служебная норма: 1 кот на 1 200 м² зернохранилища (38 голов на станцию).</w:t>
      </w:r>
    </w:p>
    <w:p>
      <w:pPr>
        <w:pStyle w:val="ListBullet"/>
      </w:pPr>
      <w:r>
        <w:t>Поголовье содержания: 6 000 голов (3 000 на цилиндр), корм 92,9 т/год, животная доля 60,4 т/год.</w:t>
      </w:r>
    </w:p>
    <w:p>
      <w:pPr>
        <w:pStyle w:val="ListBullet"/>
      </w:pPr>
      <w:r>
        <w:t>Источники животного белка: отходы разделки рыбы (21 000 т/год доступно) и мука из личинок чёрной львинки (21 т/год).</w:t>
      </w:r>
    </w:p>
    <w:p>
      <w:pPr>
        <w:pStyle w:val="ListBullet"/>
      </w:pPr>
      <w:r>
        <w:t>Пространственное разделение зон кошек, птицеводства, детских и медицинских зон.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</w:pPr>
      <w:r>
        <w:t>32. CATS IN THE ECOSYSTEM</w:t>
      </w:r>
    </w:p>
    <w:p>
      <w:r>
        <w:t>Item 6.3 introduces a minimally necessary animal community: pollinators, soil formers, sanitiser-decomposers and natural enemies of pests. Cats are absent from that list, and the present section answers whether they should be included and what requirements this carries.</w:t>
      </w:r>
    </w:p>
    <w:p>
      <w:pPr>
        <w:pStyle w:val="Heading2"/>
      </w:pPr>
      <w:r>
        <w:t>32.1. Two roles, not one</w:t>
      </w:r>
    </w:p>
    <w:p>
      <w:r>
        <w:t>Cats perform two different functions in a closed system. The first is functional: protection of grain stores from rodents. The second is companionship: presence in the human environment. These roles require different numbers and different conditions, and they must not be confused.</w:t>
      </w:r>
    </w:p>
    <w:p>
      <w:pPr>
        <w:pStyle w:val="Heading2"/>
      </w:pPr>
      <w:r>
        <w:t>32.2. Functional requirement</w:t>
      </w:r>
    </w:p>
    <w:p>
      <w:r>
        <w:t>Grain in storage is about 204 thousand t, which at a bulk density of 0.75 t/m³ and a stack height of 6 m gives a volume of 271 thousand m³ and an area of 0.045 km². At a norm of one cat per 1,200 m² of store the functional requirement is 38 head for both cylinders — a quantity easily underestimated.</w:t>
      </w:r>
    </w:p>
    <w:p>
      <w:pPr>
        <w:pStyle w:val="Heading2"/>
      </w:pPr>
      <w:r>
        <w:t>32.3. Number under companionship</w:t>
      </w:r>
    </w:p>
    <w:p>
      <w:r>
        <w:t>At a norm of 6 cats per 1,000 inhabitants the number is 6,000 head, 3,000 per cylinder, that is 0.6 % of population. The functional share of these is 38 head; the remaining 5,962 are animals of companionship. It is they that determine the feed requirement, not rodent control.</w:t>
      </w:r>
    </w:p>
    <w:p>
      <w:pPr>
        <w:pStyle w:val="Caption"/>
        <w:jc w:val="center"/>
      </w:pPr>
      <w:r>
        <w:t>Table 32.1 — Cats: number and feed requirement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62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948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Grain in storage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204 thousand t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Storage volume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271 thousand m³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Storage area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0.045 km²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Functional requirement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38 head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Number under companionship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6,000 head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Per cylinder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3,000 head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Feed per head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169.7 kcal/day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Feed, total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92.9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Protein in feed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29.7 t/yr</w:t>
            </w:r>
          </w:p>
        </w:tc>
      </w:tr>
      <w:tr>
        <w:tc>
          <w:tcPr>
            <w:tcW w:type="dxa" w:w="3628"/>
          </w:tcPr>
          <w:p>
            <w:r>
              <w:rPr>
                <w:sz w:val="16"/>
              </w:rPr>
              <w:t>Animal fraction of feed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16"/>
              </w:rPr>
              <w:t>60.4 t/yr</w:t>
            </w:r>
          </w:p>
        </w:tc>
      </w:tr>
    </w:tbl>
    <w:p>
      <w:pPr>
        <w:pStyle w:val="Heading2"/>
      </w:pPr>
      <w:r>
        <w:t>32.4. Feed: mandatory components</w:t>
      </w:r>
    </w:p>
    <w:p>
      <w:r>
        <w:t>The cat is an obligate carnivore. Taurine, arachidonic acid and preformed vitamin A are not synthesised in its body and can come only from animal tissue; plant feed does not contain them. The animal fraction of feed is therefore taken as 65 %, giving 60.4 t of animal raw material per year.</w:t>
      </w:r>
    </w:p>
    <w:p>
      <w:r>
        <w:t>There are two sources. The first is fish-dressing waste: at marketable production of 70,000 t/yr and a 30 % waste share this is 21,000 t/yr, 350 times the requirement. The second is dry meal from black soldier fly larvae (section 33): at a 35 % share of feed the requirement is 21 t/yr.</w:t>
      </w:r>
    </w:p>
    <w:p>
      <w:pPr>
        <w:pStyle w:val="Heading2"/>
      </w:pPr>
      <w:r>
        <w:t>32.5. Constraints and risks</w:t>
      </w:r>
    </w:p>
    <w:p>
      <w:pPr>
        <w:pStyle w:val="ListBullet"/>
      </w:pPr>
      <w:r>
        <w:t>Toxoplasmosis: about 30 % of the number are carriers. Isolation of pregnant animals and planning of cat premises away from children’s and medical zones is required.</w:t>
      </w:r>
    </w:p>
    <w:p>
      <w:pPr>
        <w:pStyle w:val="ListBullet"/>
      </w:pPr>
      <w:r>
        <w:t>Birds: cats are universal predators and will destroy ground-nesting birds if those are included in the ecosystem. Spatial separation of cat and poultry zones is required.</w:t>
      </w:r>
    </w:p>
    <w:p>
      <w:pPr>
        <w:pStyle w:val="ListBullet"/>
      </w:pPr>
      <w:r>
        <w:t>Grain stores: functional cats must have access to stores but not to residential zones.</w:t>
      </w:r>
    </w:p>
    <w:p>
      <w:pPr>
        <w:pStyle w:val="ListBullet"/>
      </w:pPr>
      <w:r>
        <w:t>Genetics: 6,000 head from a small initial contingent creates its own founder effect; a separate kinship register is required (see section 28).</w:t>
      </w:r>
    </w:p>
    <w:p>
      <w:pPr>
        <w:pStyle w:val="Heading2"/>
      </w:pPr>
      <w:r>
        <w:t>32.6. Design requirements</w:t>
      </w:r>
    </w:p>
    <w:p>
      <w:pPr>
        <w:pStyle w:val="ListBullet"/>
      </w:pPr>
      <w:r>
        <w:t>Cats are included in the ecosystem with separation of functional and companionship roles.</w:t>
      </w:r>
    </w:p>
    <w:p>
      <w:pPr>
        <w:pStyle w:val="ListBullet"/>
      </w:pPr>
      <w:r>
        <w:t>Functional norm: 1 cat per 1,200 m² of grain store (38 head for the station).</w:t>
      </w:r>
    </w:p>
    <w:p>
      <w:pPr>
        <w:pStyle w:val="ListBullet"/>
      </w:pPr>
      <w:r>
        <w:t>Companionship number: 6,000 head (3,000 per cylinder), feed 92.9 t/yr, animal fraction 60.4 t/yr.</w:t>
      </w:r>
    </w:p>
    <w:p>
      <w:pPr>
        <w:pStyle w:val="ListBullet"/>
      </w:pPr>
      <w:r>
        <w:t>Sources of animal protein: fish-dressing waste (21,000 t/yr available) and black soldier fly larval meal (21 t/yr).</w:t>
      </w:r>
    </w:p>
    <w:p>
      <w:pPr>
        <w:pStyle w:val="ListBullet"/>
      </w:pPr>
      <w:r>
        <w:t>Spatial separation of cat, poultry, children’s and medical zones.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pPr>
        <w:ind w:left="340" w:hanging="340"/>
      </w:pPr>
      <w:r>
        <w:rPr>
          <w:sz w:val="18"/>
        </w:rPr>
        <w:t>1. National Research Council. Nutrient Requirements of Dogs and Cats. Washington: The National Academies Press, 2006.</w:t>
      </w:r>
    </w:p>
    <w:p>
      <w:pPr>
        <w:ind w:left="340" w:hanging="340"/>
      </w:pPr>
      <w:r>
        <w:rPr>
          <w:sz w:val="18"/>
        </w:rPr>
        <w:t>1. National Research Council. Nutrient Requirements of Dogs and Cats. Washington: The National Academies Press, 2006.</w:t>
      </w:r>
    </w:p>
    <w:p>
      <w:pPr>
        <w:ind w:left="340" w:hanging="340"/>
      </w:pPr>
      <w:r>
        <w:rPr>
          <w:sz w:val="18"/>
        </w:rPr>
        <w:t>2. Lu S., Taethaisong N., Sinpru B. et al. Black soldier fly (Hermetia illucens) larvae as a feed ingredient: a review // Agriculture. 2022. [обзор состава личинок: 40–45 % белка, 25–35 % липидов на сухое вещество]</w:t>
      </w:r>
    </w:p>
    <w:p>
      <w:pPr>
        <w:ind w:left="340" w:hanging="340"/>
      </w:pPr>
      <w:r>
        <w:rPr>
          <w:sz w:val="18"/>
        </w:rPr>
        <w:t>2. Lu S., Taethaisong N., Sinpru B. et al. Black soldier fly (Hermetia illucens) larvae as a feed ingredient: a review // Agriculture. 2022. [larval composition: 40–45 % protein, 25–35 % lipids on a dry basis]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Биосфера: балансы газов, воды и продовольствия являются системной моделью и набором допущений.</w:t>
      </w:r>
    </w:p>
    <w:p>
      <w:pPr>
        <w:ind w:left="340" w:hanging="340"/>
      </w:pPr>
      <w:r>
        <w:rPr>
          <w:sz w:val="18"/>
        </w:rPr>
        <w:t>· Biosphere: gas, water and food balances are a system model and a set of assumptions.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