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18"/>
        </w:rPr>
        <w:t>ММОСО'Н — модуль моделирования орбитальной станции О'Нилла</w:t>
      </w:r>
    </w:p>
    <w:p>
      <w:pPr>
        <w:jc w:val="center"/>
      </w:pPr>
      <w:r>
        <w:rPr>
          <w:i/>
          <w:sz w:val="18"/>
        </w:rPr>
        <w:t>Раздел 34 / Section 34</w:t>
      </w:r>
    </w:p>
    <w:p>
      <w:pPr>
        <w:jc w:val="center"/>
      </w:pPr>
      <w:r>
        <w:rPr>
          <w:b/>
          <w:color w:val="1F3864"/>
          <w:sz w:val="26"/>
        </w:rPr>
        <w:t>34. ГОРОДА: РЕАЛЬНЫЕ И ВИРТУАЛЬНЫЕ</w:t>
      </w:r>
    </w:p>
    <w:p>
      <w:pPr>
        <w:jc w:val="center"/>
      </w:pPr>
      <w:r>
        <w:rPr>
          <w:b/>
          <w:color w:val="1F3864"/>
          <w:sz w:val="26"/>
        </w:rPr>
        <w:t>34. CITIES: REAL AND VIRTUAL</w:t>
      </w:r>
    </w:p>
    <w:p>
      <w:pPr>
        <w:jc w:val="center"/>
      </w:pPr>
      <w:r>
        <w:rPr>
          <w:i/>
          <w:sz w:val="17"/>
        </w:rPr>
        <w:t>Редакция 8 · 31 октября 2026 г.  ·  документ 36 из 43</w:t>
      </w:r>
    </w:p>
    <w:p>
      <w:pPr>
        <w:jc w:val="center"/>
      </w:pPr>
      <w:r>
        <w:rPr>
          <w:color w:val="808080"/>
          <w:sz w:val="16"/>
        </w:rPr>
        <w:t>——————————————————————————————————</w:t>
      </w:r>
    </w:p>
    <w:p>
      <w:pPr>
        <w:spacing w:before="200"/>
        <w:jc w:val="center"/>
      </w:pPr>
      <w:r>
        <w:rPr>
          <w:b/>
          <w:color w:val="2E5496"/>
          <w:sz w:val="17"/>
        </w:rPr>
        <w:t>РУССКАЯ РЕДАКЦИЯ / РУССКИЙ ТЕКСТ</w:t>
      </w:r>
    </w:p>
    <w:p>
      <w:pPr>
        <w:pStyle w:val="Heading1"/>
      </w:pPr>
      <w:r>
        <w:t>34. ГОРОДА: РЕАЛЬНЫЕ И ВИРТУАЛЬНЫЕ</w:t>
      </w:r>
    </w:p>
    <w:p>
      <w:r>
        <w:t>Пункт 12.5 описывает урбанистику как деление обитаемой поверхности. Настоящий раздел отвечает на два вопроса: как должны быть устроены города станции, и как их проектировать, когда полномасштабный макет невозможен.</w:t>
      </w:r>
    </w:p>
    <w:p>
      <w:pPr>
        <w:pStyle w:val="Heading2"/>
      </w:pPr>
      <w:r>
        <w:t>34.1. Плотность и площадь</w:t>
      </w:r>
    </w:p>
    <w:p>
      <w:r>
        <w:t>Обитаемая площадь двух цилиндров составляет 2 513,2 км² при населении 1 000 000, то есть плотность 398 человек/км². Это в пять раз ниже плотности типичного земного города и в несколько раз выше сельской. При норме 120 м² застройки на человека города занимают 120 км², или 4,8 % обитаемой поверхности; открытые пространства при норме 25 м² на человека — 25 км².</w:t>
      </w:r>
    </w:p>
    <w:p>
      <w:pPr>
        <w:pStyle w:val="Caption"/>
        <w:jc w:val="center"/>
      </w:pPr>
      <w:r>
        <w:t>Таблица 34.1 — Городские показатели станции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3628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Показатель</w:t>
            </w:r>
          </w:p>
        </w:tc>
        <w:tc>
          <w:tcPr>
            <w:tcW w:type="dxa" w:w="2948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Величина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Обитаемая площадь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2 513,2 км²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Плотность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398 человек/км²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Застройка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120 км² (4,8 %)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Открытые пространства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25 км²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Городов по 50 000 человек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Площадь одного города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6,0 км²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Радиус города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1,38 км</w:t>
            </w:r>
          </w:p>
        </w:tc>
      </w:tr>
    </w:tbl>
    <w:p>
      <w:pPr>
        <w:pStyle w:val="Heading2"/>
      </w:pPr>
      <w:r>
        <w:t>34.2. Реальный город: рекомендации</w:t>
      </w:r>
    </w:p>
    <w:p>
      <w:pPr>
        <w:pStyle w:val="ListBullet"/>
      </w:pPr>
      <w:r>
        <w:t>Двадцать городов по 50 000 человек, а не одно метро: каждый город должен быть самодостаточен по питанию, воде, энергии и аварийному секционированию.</w:t>
      </w:r>
    </w:p>
    <w:p>
      <w:pPr>
        <w:pStyle w:val="ListBullet"/>
      </w:pPr>
      <w:r>
        <w:t>Радиус 1,38 км при радиусе цилиндра 5 км: город занимает меньше половины ширины цилиндра, и пешая доступность сохраняется во всех направлениях.</w:t>
      </w:r>
    </w:p>
    <w:p>
      <w:pPr>
        <w:pStyle w:val="ListBullet"/>
      </w:pPr>
      <w:r>
        <w:t>Зонирование по климатическим поясам (п. 2.4): город в тропической зоне и город в холодной зоне — разные инженерные задачи, и их нельзя проектировать одним типовым решением.</w:t>
      </w:r>
    </w:p>
    <w:p>
      <w:pPr>
        <w:pStyle w:val="ListBullet"/>
      </w:pPr>
      <w:r>
        <w:t>Ориентация: продольная ось цилиндра — единственное направление, где горизонт не ограничен (п. 22.1). Улицы и виды должны быть ориентированы преимущественно вдоль оси.</w:t>
      </w:r>
    </w:p>
    <w:p>
      <w:pPr>
        <w:pStyle w:val="ListBullet"/>
      </w:pPr>
      <w:r>
        <w:t>Полоса тьмы: половина длины цилиндра лишена прямого света ОСБ; города должны проектироваться с учётом искусственного освещения и светового климата (п. 22.3).</w:t>
      </w:r>
    </w:p>
    <w:p>
      <w:pPr>
        <w:pStyle w:val="ListBullet"/>
      </w:pPr>
      <w:r>
        <w:t>Акустика: собственные частоты оболочки лежат ниже полосы слышимого звука (п. 7.2), и городской шум не находит отражения от стен — планировка должна быть открытой.</w:t>
      </w:r>
    </w:p>
    <w:p>
      <w:pPr>
        <w:pStyle w:val="Heading2"/>
      </w:pPr>
      <w:r>
        <w:t>34.3. Виртуальный двойник в Minecraft</w:t>
      </w:r>
    </w:p>
    <w:p>
      <w:r>
        <w:t>Полномасштабный макет станции невозможен: цилиндр длиной 49 км и диаметром 10 км не помещается ни в одном павильоне. Виртуальный двойник решает эту задачу, и Minecraft оказывается пригоден потому, что его блочная геометрия естественно соответствует ортогональной планировке цилиндра.</w:t>
      </w:r>
    </w:p>
    <w:p>
      <w:pPr>
        <w:pStyle w:val="Caption"/>
        <w:jc w:val="center"/>
      </w:pPr>
      <w:r>
        <w:t>Таблица 34.2 — Виртуальный двойник: масштабы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c>
          <w:tcPr>
            <w:tcW w:type="dxa" w:w="1701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Масштаб</w:t>
            </w:r>
          </w:p>
        </w:tc>
        <w:tc>
          <w:tcPr>
            <w:tcW w:type="dxa" w:w="2494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Размер, блоков</w:t>
            </w:r>
          </w:p>
        </w:tc>
        <w:tc>
          <w:tcPr>
            <w:tcW w:type="dxa" w:w="1928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Поверхность</w:t>
            </w:r>
          </w:p>
        </w:tc>
        <w:tc>
          <w:tcPr>
            <w:tcW w:type="dxa" w:w="2608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Пригодность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1:1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sz w:val="16"/>
              </w:rPr>
              <w:t>49 000 × 10 000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490 млн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sz w:val="16"/>
              </w:rPr>
              <w:t>Не помещается по высоте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1:100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sz w:val="16"/>
              </w:rPr>
              <w:t>490 × 100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49 000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sz w:val="16"/>
              </w:rPr>
              <w:t>Рекомендуемый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1:200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sz w:val="16"/>
              </w:rPr>
              <w:t>245 × 50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12 250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sz w:val="16"/>
              </w:rPr>
              <w:t>Обзорный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1:1000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sz w:val="16"/>
              </w:rPr>
              <w:t>49 × 10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490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sz w:val="16"/>
              </w:rPr>
              <w:t>Слишком грубый</w:t>
            </w:r>
          </w:p>
        </w:tc>
      </w:tr>
    </w:tbl>
    <w:p>
      <w:r>
        <w:t>Масштаб 1:1 технически достижим по длине и по диаметру в плане, но не по высоте: диаметр 10 000 блоков превышает предел высоты мира 320 блоков, а поверхность 490 млн блоков делает постройку неподъёмной. Рекомендуемый масштаб 1:100 даёт 490 × 100 блоков и 49 000 блоков поверхности — объём, доступный коллективной постройке. Район города площадью 1 км² в этом масштабе занимает 10 × 10 блоков.</w:t>
      </w:r>
    </w:p>
    <w:p>
      <w:pPr>
        <w:pStyle w:val="Heading2"/>
      </w:pPr>
      <w:r>
        <w:t>34.4. Назначение виртуальной модели</w:t>
      </w:r>
    </w:p>
    <w:p>
      <w:pPr>
        <w:pStyle w:val="ListBullet"/>
      </w:pPr>
      <w:r>
        <w:t>Проектная экспертиза: проверка планировки, пешей доступности и светового климата до начала строительства.</w:t>
      </w:r>
    </w:p>
    <w:p>
      <w:pPr>
        <w:pStyle w:val="ListBullet"/>
      </w:pPr>
      <w:r>
        <w:t>Участие жителей: методика, отработанная ООН-Хабитат в программе Block by Block, показывает, что Minecraft снижает порог входа для людей без архитектурной подготовки и даёт проектировщикам обратную связь от будущих жителей.</w:t>
      </w:r>
    </w:p>
    <w:p>
      <w:pPr>
        <w:pStyle w:val="ListBullet"/>
      </w:pPr>
      <w:r>
        <w:t>Образование: школьники и студенты получают пространственное представление о станции, которое чертёж не даёт.</w:t>
      </w:r>
    </w:p>
    <w:p>
      <w:pPr>
        <w:pStyle w:val="ListBullet"/>
      </w:pPr>
      <w:r>
        <w:t>Цифровой двойник: модель синхронизируется с расчётными параметрами публикации, и каждое изменение планировки проверяется по балансам.</w:t>
      </w:r>
    </w:p>
    <w:p>
      <w:pPr>
        <w:pStyle w:val="Heading2"/>
      </w:pPr>
      <w:r>
        <w:t>34.5. Проектные положения</w:t>
      </w:r>
    </w:p>
    <w:p>
      <w:pPr>
        <w:pStyle w:val="ListBullet"/>
      </w:pPr>
      <w:r>
        <w:t>Двадцать городов по 50 000 человек, каждый самодостаточен по жизнеобеспечению.</w:t>
      </w:r>
    </w:p>
    <w:p>
      <w:pPr>
        <w:pStyle w:val="ListBullet"/>
      </w:pPr>
      <w:r>
        <w:t>Виртуальный двойник в масштабе 1:100 для всей станции и 1:10 для районов детальной планировки.</w:t>
      </w:r>
    </w:p>
    <w:p>
      <w:pPr>
        <w:pStyle w:val="ListBullet"/>
      </w:pPr>
      <w:r>
        <w:t>Методика участия жителей — по образцу Block by Block.</w:t>
      </w:r>
    </w:p>
    <w:p>
      <w:pPr>
        <w:pStyle w:val="ListBullet"/>
      </w:pPr>
      <w:r>
        <w:t>Синхронизация модели с расчётными таблицами публикации.</w:t>
      </w:r>
    </w:p>
    <w:p>
      <w:pPr>
        <w:spacing w:before="200"/>
        <w:jc w:val="center"/>
      </w:pPr>
      <w:r>
        <w:rPr>
          <w:b/>
          <w:color w:val="2E5496"/>
          <w:sz w:val="17"/>
        </w:rPr>
        <w:t>ENGLISH EDITION</w:t>
      </w:r>
    </w:p>
    <w:p>
      <w:pPr>
        <w:pStyle w:val="Heading1"/>
      </w:pPr>
      <w:r>
        <w:t>34. CITIES: REAL AND VIRTUAL</w:t>
      </w:r>
    </w:p>
    <w:p>
      <w:r>
        <w:t>Item 12.5 describes urbanism as division of the habitable surface. The present section answers two questions: how the cities of the station should be arranged, and how to design them when a full-scale model is impossible.</w:t>
      </w:r>
    </w:p>
    <w:p>
      <w:pPr>
        <w:pStyle w:val="Heading2"/>
      </w:pPr>
      <w:r>
        <w:t>34.1. Density and area</w:t>
      </w:r>
    </w:p>
    <w:p>
      <w:r>
        <w:t>The habitable area of the two cylinders is 2,513.2 km² at a population of 1,000,000, that is a density of 398 persons/km². This is five times below the density of a typical terrestrial city and several times above rural. At a norm of 120 m² of building per person, cities occupy 120 km², or 4.8 % of the habitable surface; open space at a norm of 25 m² per person is 25 km².</w:t>
      </w:r>
    </w:p>
    <w:p>
      <w:pPr>
        <w:pStyle w:val="Caption"/>
        <w:jc w:val="center"/>
      </w:pPr>
      <w:r>
        <w:t>Table 34.1 — Urban indicators of the station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3628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2948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Habitable area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2,513.2 km²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Density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398 persons/km²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Building area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120 km² (4.8 %)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Open space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25 km²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Cities of 50,000 people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Area of one city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6.0 km²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City radius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1.38 km</w:t>
            </w:r>
          </w:p>
        </w:tc>
      </w:tr>
    </w:tbl>
    <w:p>
      <w:pPr>
        <w:pStyle w:val="Heading2"/>
      </w:pPr>
      <w:r>
        <w:t>34.2. Real city: recommendations</w:t>
      </w:r>
    </w:p>
    <w:p>
      <w:pPr>
        <w:pStyle w:val="ListBullet"/>
      </w:pPr>
      <w:r>
        <w:t>Twenty cities of 50,000 people, not one metropolis: every city must be self-sufficient in food, water, energy and emergency compartmentation.</w:t>
      </w:r>
    </w:p>
    <w:p>
      <w:pPr>
        <w:pStyle w:val="ListBullet"/>
      </w:pPr>
      <w:r>
        <w:t>Radius 1.38 km against a cylinder radius of 5 km: the city occupies less than half the cylinder width, and walkability is preserved in all directions.</w:t>
      </w:r>
    </w:p>
    <w:p>
      <w:pPr>
        <w:pStyle w:val="ListBullet"/>
      </w:pPr>
      <w:r>
        <w:t>Zoning by climatic belt (item 2.4): a city in the tropical zone and a city in the cold zone are different engineering tasks and cannot be designed with one standard solution.</w:t>
      </w:r>
    </w:p>
    <w:p>
      <w:pPr>
        <w:pStyle w:val="ListBullet"/>
      </w:pPr>
      <w:r>
        <w:t>Orientation: the cylinder’s long axis is the only direction where the horizon is unconstrained (item 22.1). Streets and views should be oriented predominantly along the axis.</w:t>
      </w:r>
    </w:p>
    <w:p>
      <w:pPr>
        <w:pStyle w:val="ListBullet"/>
      </w:pPr>
      <w:r>
        <w:t>Dark band: half the cylinder length is deprived of direct OSB light; cities must be designed with artificial lighting and light climate in mind (item 22.3).</w:t>
      </w:r>
    </w:p>
    <w:p>
      <w:pPr>
        <w:pStyle w:val="ListBullet"/>
      </w:pPr>
      <w:r>
        <w:t>Acoustics: the shell’s natural frequencies lie below the audible range (item 7.2), and city noise finds no reflection from the walls — the layout must be open.</w:t>
      </w:r>
    </w:p>
    <w:p>
      <w:pPr>
        <w:pStyle w:val="Heading2"/>
      </w:pPr>
      <w:r>
        <w:t>34.3. Virtual twin in Minecraft</w:t>
      </w:r>
    </w:p>
    <w:p>
      <w:r>
        <w:t>A full-scale model of the station is impossible: a cylinder 49 km long and 10 km in diameter fits in no pavilion. A virtual twin solves this, and Minecraft proves suitable because its block geometry corresponds naturally to the orthogonal layout of the cylinder.</w:t>
      </w:r>
    </w:p>
    <w:p>
      <w:pPr>
        <w:pStyle w:val="Caption"/>
        <w:jc w:val="center"/>
      </w:pPr>
      <w:r>
        <w:t>Table 34.2 — Virtual twin: scales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c>
          <w:tcPr>
            <w:tcW w:type="dxa" w:w="1701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Scale</w:t>
            </w:r>
          </w:p>
        </w:tc>
        <w:tc>
          <w:tcPr>
            <w:tcW w:type="dxa" w:w="2494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Size, blocks</w:t>
            </w:r>
          </w:p>
        </w:tc>
        <w:tc>
          <w:tcPr>
            <w:tcW w:type="dxa" w:w="1928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Surface</w:t>
            </w:r>
          </w:p>
        </w:tc>
        <w:tc>
          <w:tcPr>
            <w:tcW w:type="dxa" w:w="2608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Suitability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1:1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sz w:val="16"/>
              </w:rPr>
              <w:t>49,000 × 10,000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490 million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sz w:val="16"/>
              </w:rPr>
              <w:t>Does not fit by height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1:100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sz w:val="16"/>
              </w:rPr>
              <w:t>490 × 100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49,000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sz w:val="16"/>
              </w:rPr>
              <w:t>Recommended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1:200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sz w:val="16"/>
              </w:rPr>
              <w:t>245 × 50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12,250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sz w:val="16"/>
              </w:rPr>
              <w:t>Overview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1:1000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sz w:val="16"/>
              </w:rPr>
              <w:t>49 × 10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490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sz w:val="16"/>
              </w:rPr>
              <w:t>Too coarse</w:t>
            </w:r>
          </w:p>
        </w:tc>
      </w:tr>
    </w:tbl>
    <w:p>
      <w:r>
        <w:t>Scale 1:1 is technically achievable in length and diameter in plan but not in height: a diameter of 10,000 blocks exceeds the world height limit of 320 blocks, and a surface of 490 million blocks makes building impracticable. The recommended scale of 1:100 gives 490 × 100 blocks and 49,000 blocks of surface — a volume accessible to collective building. A district of 1 km² occupies 10 × 10 blocks at that scale.</w:t>
      </w:r>
    </w:p>
    <w:p>
      <w:pPr>
        <w:pStyle w:val="Heading2"/>
      </w:pPr>
      <w:r>
        <w:t>34.4. Purpose of the virtual model</w:t>
      </w:r>
    </w:p>
    <w:p>
      <w:pPr>
        <w:pStyle w:val="ListBullet"/>
      </w:pPr>
      <w:r>
        <w:t>Design review: checking layout, walkability and light climate before construction begins.</w:t>
      </w:r>
    </w:p>
    <w:p>
      <w:pPr>
        <w:pStyle w:val="ListBullet"/>
      </w:pPr>
      <w:r>
        <w:t>Resident participation: the method proven by UN-Habitat in the Block by Block programme shows that Minecraft lowers the threshold for people without architectural training and gives designers feedback from future residents.</w:t>
      </w:r>
    </w:p>
    <w:p>
      <w:pPr>
        <w:pStyle w:val="ListBullet"/>
      </w:pPr>
      <w:r>
        <w:t>Education: schoolchildren and students get a spatial understanding of the station that a drawing does not give.</w:t>
      </w:r>
    </w:p>
    <w:p>
      <w:pPr>
        <w:pStyle w:val="ListBullet"/>
      </w:pPr>
      <w:r>
        <w:t>Digital twin: the model is synchronised with the computational parameters of the publication, and every layout change is checked against the balances.</w:t>
      </w:r>
    </w:p>
    <w:p>
      <w:pPr>
        <w:pStyle w:val="Heading2"/>
      </w:pPr>
      <w:r>
        <w:t>34.5. Design requirements</w:t>
      </w:r>
    </w:p>
    <w:p>
      <w:pPr>
        <w:pStyle w:val="ListBullet"/>
      </w:pPr>
      <w:r>
        <w:t>Twenty cities of 50,000 people, each self-sufficient in life support.</w:t>
      </w:r>
    </w:p>
    <w:p>
      <w:pPr>
        <w:pStyle w:val="ListBullet"/>
      </w:pPr>
      <w:r>
        <w:t>Virtual twin at 1:100 for the whole station and 1:10 for detailed-planning districts.</w:t>
      </w:r>
    </w:p>
    <w:p>
      <w:pPr>
        <w:pStyle w:val="ListBullet"/>
      </w:pPr>
      <w:r>
        <w:t>Resident participation method — on the Block by Block model.</w:t>
      </w:r>
    </w:p>
    <w:p>
      <w:pPr>
        <w:pStyle w:val="ListBullet"/>
      </w:pPr>
      <w:r>
        <w:t>Synchronisation of the model with the publication’s computational tables.</w:t>
      </w:r>
    </w:p>
    <w:p/>
    <w:p>
      <w:pPr>
        <w:spacing w:before="200"/>
        <w:jc w:val="center"/>
      </w:pPr>
      <w:r>
        <w:rPr>
          <w:b/>
          <w:color w:val="2E5496"/>
          <w:sz w:val="17"/>
        </w:rPr>
        <w:t>СПИСОК ЛИТЕРАТУРЫ РАЗДЕЛА / REFERENCES OF THIS SECTION</w:t>
      </w:r>
    </w:p>
    <w:p>
      <w:pPr>
        <w:ind w:left="340" w:hanging="340"/>
      </w:pPr>
      <w:r>
        <w:rPr>
          <w:sz w:val="18"/>
        </w:rPr>
        <w:t>1. UN-Habitat. The Block by Block Playbook: Using Minecraft as a Participatory Design Tool in Urban Design and Governance. Nairobi: UN-Habitat, 2021.</w:t>
      </w:r>
    </w:p>
    <w:p>
      <w:pPr>
        <w:ind w:left="340" w:hanging="340"/>
      </w:pPr>
      <w:r>
        <w:rPr>
          <w:sz w:val="18"/>
        </w:rPr>
        <w:t>1. UN-Habitat. The Block by Block Playbook: Using Minecraft as a Participatory Design Tool in Urban Design and Governance. Nairobi: UN-Habitat, 2021.</w:t>
      </w:r>
    </w:p>
    <w:p>
      <w:pPr>
        <w:ind w:left="340" w:hanging="340"/>
      </w:pPr>
      <w:r>
        <w:rPr>
          <w:sz w:val="18"/>
        </w:rPr>
        <w:t>2. Benjamins R., Vieira C., Ferreira B. Minecraft as a tool for engaging children in urban planning: a case study in Tirol town, Brazil // ISPRS International Journal of Geo-Information. 2020. Vol. 9, No. 3. 170.</w:t>
      </w:r>
    </w:p>
    <w:p>
      <w:pPr>
        <w:ind w:left="340" w:hanging="340"/>
      </w:pPr>
      <w:r>
        <w:rPr>
          <w:sz w:val="18"/>
        </w:rPr>
        <w:t>2. Benjamins R., Vieira C., Ferreira B. Minecraft as a tool for engaging children in urban planning: a case study in Tirol town, Brazil // ISPRS International Journal of Geo-Information. 2020. Vol. 9, No. 3. 170.</w:t>
      </w:r>
    </w:p>
    <w:sectPr w:rsidR="00FC693F" w:rsidRPr="0006063C" w:rsidSect="00034616">
      <w:pgSz w:w="11906" w:h="16838"/>
      <w:pgMar w:top="1134" w:right="96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1F3864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