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0E" w:rsidRPr="00137C48" w:rsidRDefault="00137C48" w:rsidP="00137C48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 w:rsidRPr="00137C48">
        <w:rPr>
          <w:b/>
          <w:color w:val="0070C0"/>
          <w:sz w:val="32"/>
          <w:szCs w:val="32"/>
        </w:rPr>
        <w:t>Kurze Beschreibung der einzelnen Klassen</w:t>
      </w:r>
    </w:p>
    <w:p w:rsidR="00137C48" w:rsidRDefault="00137C48" w:rsidP="009B4D0E">
      <w:pPr>
        <w:pStyle w:val="KeinLeerraum"/>
      </w:pP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3247ED">
        <w:rPr>
          <w:b/>
        </w:rPr>
        <w:t>Backend</w:t>
      </w:r>
      <w:r w:rsidR="003247ED" w:rsidRPr="003247ED">
        <w:rPr>
          <w:b/>
        </w:rPr>
        <w:t>MIPS</w:t>
      </w:r>
      <w:proofErr w:type="spellEnd"/>
      <w:r w:rsidRPr="003247ED">
        <w:rPr>
          <w:b/>
        </w:rPr>
        <w:t>:</w:t>
      </w:r>
    </w:p>
    <w:p w:rsidR="003247ED" w:rsidRDefault="003247ED" w:rsidP="00424ADB">
      <w:pPr>
        <w:pStyle w:val="KeinLeerraum"/>
        <w:spacing w:after="120"/>
        <w:ind w:left="720"/>
      </w:pPr>
      <w:r>
        <w:t xml:space="preserve">In </w:t>
      </w:r>
      <w:proofErr w:type="spellStart"/>
      <w:r>
        <w:t>BackendMIPS</w:t>
      </w:r>
      <w:proofErr w:type="spellEnd"/>
      <w:r>
        <w:t xml:space="preserve"> sind die Methoden laut Angabe CA1 implementiert.</w:t>
      </w: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3247ED">
        <w:rPr>
          <w:b/>
        </w:rPr>
        <w:t>GlobalPointerRegister</w:t>
      </w:r>
      <w:proofErr w:type="spellEnd"/>
      <w:r w:rsidRPr="003247ED">
        <w:rPr>
          <w:b/>
        </w:rPr>
        <w:t>:</w:t>
      </w:r>
    </w:p>
    <w:p w:rsidR="003247ED" w:rsidRDefault="003247ED" w:rsidP="00424ADB">
      <w:pPr>
        <w:pStyle w:val="KeinLeerraum"/>
        <w:spacing w:after="120"/>
        <w:ind w:left="720"/>
      </w:pPr>
      <w:r>
        <w:t>Hier werden Bytes in der „</w:t>
      </w:r>
      <w:proofErr w:type="spellStart"/>
      <w:r>
        <w:t>Static</w:t>
      </w:r>
      <w:proofErr w:type="spellEnd"/>
      <w:r>
        <w:t xml:space="preserve"> Data Area“ </w:t>
      </w:r>
      <w:proofErr w:type="spellStart"/>
      <w:r>
        <w:t>allociert</w:t>
      </w:r>
      <w:proofErr w:type="spellEnd"/>
      <w:r>
        <w:t xml:space="preserve">. Für eine passende Wortlänge befindet sich hier die Methode </w:t>
      </w:r>
      <w:proofErr w:type="spellStart"/>
      <w:r>
        <w:t>doWordAlignment</w:t>
      </w:r>
      <w:proofErr w:type="spellEnd"/>
      <w:r>
        <w:t>.</w:t>
      </w: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3247ED">
        <w:rPr>
          <w:b/>
        </w:rPr>
        <w:t>Register:</w:t>
      </w:r>
    </w:p>
    <w:p w:rsidR="003247ED" w:rsidRDefault="003247ED" w:rsidP="00424ADB">
      <w:pPr>
        <w:pStyle w:val="KeinLeerraum"/>
        <w:spacing w:after="120"/>
        <w:ind w:left="720"/>
      </w:pPr>
      <w:r>
        <w:t>So wird ein Register mit Name und Registernummer gespeichert. Abfrage und Setzen ob das Register in Verwendung ist.</w:t>
      </w: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3247ED">
        <w:rPr>
          <w:b/>
        </w:rPr>
        <w:t>Registers:</w:t>
      </w:r>
    </w:p>
    <w:p w:rsidR="003247ED" w:rsidRDefault="003247ED" w:rsidP="00424ADB">
      <w:pPr>
        <w:pStyle w:val="KeinLeerraum"/>
        <w:spacing w:after="120"/>
        <w:ind w:left="720"/>
      </w:pPr>
      <w:r>
        <w:t>Hier befindet sich das Registermanagement, wie T und S Register</w:t>
      </w:r>
      <w:r w:rsidR="00681A2C">
        <w:t xml:space="preserve"> anfordern und freigeben. Abrufen der restlichen Register, wie </w:t>
      </w:r>
      <w:proofErr w:type="spellStart"/>
      <w:r w:rsidR="00681A2C">
        <w:t>z.B</w:t>
      </w:r>
      <w:proofErr w:type="spellEnd"/>
      <w:r w:rsidR="00681A2C">
        <w:t xml:space="preserve">: </w:t>
      </w:r>
      <w:proofErr w:type="spellStart"/>
      <w:r w:rsidR="00681A2C">
        <w:t>GlobalPointerRegister</w:t>
      </w:r>
      <w:proofErr w:type="spellEnd"/>
      <w:r w:rsidR="00681A2C">
        <w:t xml:space="preserve">, </w:t>
      </w:r>
      <w:proofErr w:type="spellStart"/>
      <w:r w:rsidR="00681A2C">
        <w:t>FramePointerRegister</w:t>
      </w:r>
      <w:proofErr w:type="spellEnd"/>
      <w:r w:rsidR="00681A2C">
        <w:t>, etc.</w:t>
      </w: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681A2C">
        <w:rPr>
          <w:b/>
        </w:rPr>
        <w:t>Segment:</w:t>
      </w:r>
    </w:p>
    <w:p w:rsidR="00681A2C" w:rsidRDefault="00681A2C" w:rsidP="00424ADB">
      <w:pPr>
        <w:pStyle w:val="KeinLeerraum"/>
        <w:spacing w:after="120"/>
        <w:ind w:left="720"/>
      </w:pPr>
      <w:r>
        <w:t>Abfrage von Data- und Textsegment „String“.</w:t>
      </w: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681A2C">
        <w:rPr>
          <w:b/>
        </w:rPr>
        <w:t>StackPointerRegister</w:t>
      </w:r>
      <w:proofErr w:type="spellEnd"/>
      <w:r w:rsidRPr="00681A2C">
        <w:rPr>
          <w:b/>
        </w:rPr>
        <w:t>:</w:t>
      </w:r>
    </w:p>
    <w:p w:rsidR="00681A2C" w:rsidRDefault="00681A2C" w:rsidP="00424ADB">
      <w:pPr>
        <w:pStyle w:val="KeinLeerraum"/>
        <w:spacing w:after="120"/>
        <w:ind w:left="720"/>
      </w:pPr>
      <w:r>
        <w:t xml:space="preserve">Hier werden Bytes auf dem Stack </w:t>
      </w:r>
      <w:proofErr w:type="spellStart"/>
      <w:r>
        <w:t>allociert</w:t>
      </w:r>
      <w:proofErr w:type="spellEnd"/>
      <w:r>
        <w:t xml:space="preserve">, freigegeben und </w:t>
      </w:r>
      <w:proofErr w:type="spellStart"/>
      <w:r>
        <w:t>WordAlignment</w:t>
      </w:r>
      <w:proofErr w:type="spellEnd"/>
      <w:r>
        <w:t xml:space="preserve"> kann vorgenommen werden. Offsets werden Prozeduren-übergreifend verwaltet.</w:t>
      </w: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681A2C">
        <w:rPr>
          <w:b/>
        </w:rPr>
        <w:t>SyscallCode</w:t>
      </w:r>
      <w:proofErr w:type="spellEnd"/>
      <w:r w:rsidRPr="00681A2C">
        <w:rPr>
          <w:b/>
        </w:rPr>
        <w:t>:</w:t>
      </w:r>
    </w:p>
    <w:p w:rsidR="00681A2C" w:rsidRDefault="00681A2C" w:rsidP="00681A2C">
      <w:pPr>
        <w:pStyle w:val="KeinLeerraum"/>
        <w:ind w:left="720"/>
      </w:pPr>
      <w:r>
        <w:t xml:space="preserve">Hier befinden sich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Enums</w:t>
      </w:r>
      <w:proofErr w:type="spellEnd"/>
      <w:r>
        <w:t>. Diese können nun auch mithilfe des Namens und nicht nur mit der Zahl im Backend verwendet werden.</w:t>
      </w:r>
    </w:p>
    <w:p w:rsidR="00137C48" w:rsidRDefault="00137C48"/>
    <w:p w:rsidR="00137C48" w:rsidRDefault="00137C48" w:rsidP="00137C48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bookmarkStart w:id="0" w:name="_GoBack"/>
      <w:bookmarkEnd w:id="0"/>
      <w:r w:rsidRPr="00137C48">
        <w:rPr>
          <w:b/>
          <w:color w:val="0070C0"/>
          <w:sz w:val="32"/>
          <w:szCs w:val="32"/>
        </w:rPr>
        <w:t xml:space="preserve">Code </w:t>
      </w:r>
      <w:proofErr w:type="spellStart"/>
      <w:r w:rsidRPr="00137C48">
        <w:rPr>
          <w:b/>
          <w:color w:val="0070C0"/>
          <w:sz w:val="32"/>
          <w:szCs w:val="32"/>
        </w:rPr>
        <w:t>Coverage</w:t>
      </w:r>
      <w:proofErr w:type="spellEnd"/>
    </w:p>
    <w:p w:rsidR="007B52E0" w:rsidRDefault="007B52E0" w:rsidP="00D53632">
      <w:pPr>
        <w:pStyle w:val="KeinLeerraum"/>
        <w:rPr>
          <w:b/>
        </w:rPr>
      </w:pPr>
    </w:p>
    <w:p w:rsidR="00D53632" w:rsidRPr="00D53632" w:rsidRDefault="00D53632" w:rsidP="00D53632">
      <w:pPr>
        <w:pStyle w:val="KeinLeerraum"/>
        <w:numPr>
          <w:ilvl w:val="0"/>
          <w:numId w:val="4"/>
        </w:numPr>
        <w:rPr>
          <w:b/>
        </w:rPr>
      </w:pPr>
      <w:r>
        <w:t xml:space="preserve">Code </w:t>
      </w:r>
      <w:proofErr w:type="spellStart"/>
      <w:r>
        <w:t>Coverage</w:t>
      </w:r>
      <w:proofErr w:type="spellEnd"/>
      <w:r>
        <w:t xml:space="preserve"> wurde mit Hilfe von </w:t>
      </w:r>
      <w:proofErr w:type="spellStart"/>
      <w:r>
        <w:t>IntelliJ</w:t>
      </w:r>
      <w:proofErr w:type="spellEnd"/>
      <w:r>
        <w:t xml:space="preserve"> IDEA vorgenommen.</w:t>
      </w:r>
    </w:p>
    <w:tbl>
      <w:tblPr>
        <w:tblStyle w:val="Tabellenraster"/>
        <w:tblpPr w:leftFromText="180" w:rightFromText="180" w:vertAnchor="text" w:horzAnchor="margin" w:tblpXSpec="center" w:tblpY="177"/>
        <w:tblW w:w="8784" w:type="dxa"/>
        <w:tblLayout w:type="fixed"/>
        <w:tblLook w:val="04A0" w:firstRow="1" w:lastRow="0" w:firstColumn="1" w:lastColumn="0" w:noHBand="0" w:noVBand="1"/>
      </w:tblPr>
      <w:tblGrid>
        <w:gridCol w:w="2229"/>
        <w:gridCol w:w="730"/>
        <w:gridCol w:w="722"/>
        <w:gridCol w:w="709"/>
        <w:gridCol w:w="708"/>
        <w:gridCol w:w="709"/>
        <w:gridCol w:w="709"/>
        <w:gridCol w:w="708"/>
        <w:gridCol w:w="709"/>
        <w:gridCol w:w="851"/>
      </w:tblGrid>
      <w:tr w:rsidR="007B52E0" w:rsidTr="007B52E0">
        <w:tc>
          <w:tcPr>
            <w:tcW w:w="2229" w:type="dxa"/>
            <w:tcBorders>
              <w:bottom w:val="single" w:sz="4" w:space="0" w:color="auto"/>
            </w:tcBorders>
            <w:shd w:val="clear" w:color="auto" w:fill="FFC000"/>
          </w:tcPr>
          <w:p w:rsidR="007B52E0" w:rsidRPr="007A09FE" w:rsidRDefault="007B52E0" w:rsidP="007B52E0">
            <w:pPr>
              <w:pStyle w:val="KeinLeerraum"/>
              <w:rPr>
                <w:b/>
              </w:rPr>
            </w:pPr>
            <w:r>
              <w:rPr>
                <w:b/>
              </w:rPr>
              <w:t>Klassen/</w:t>
            </w:r>
            <w:r w:rsidRPr="007A09FE">
              <w:rPr>
                <w:b/>
              </w:rPr>
              <w:t>Testfälle</w:t>
            </w:r>
          </w:p>
        </w:tc>
        <w:tc>
          <w:tcPr>
            <w:tcW w:w="730" w:type="dxa"/>
            <w:shd w:val="clear" w:color="auto" w:fill="FFC000"/>
          </w:tcPr>
          <w:p w:rsidR="007B52E0" w:rsidRPr="005C318D" w:rsidRDefault="007B52E0" w:rsidP="007B52E0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FFC000"/>
          </w:tcPr>
          <w:p w:rsidR="007B52E0" w:rsidRPr="005C318D" w:rsidRDefault="007B52E0" w:rsidP="007B52E0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2</w:t>
            </w:r>
          </w:p>
        </w:tc>
        <w:tc>
          <w:tcPr>
            <w:tcW w:w="709" w:type="dxa"/>
            <w:shd w:val="clear" w:color="auto" w:fill="FFC000"/>
          </w:tcPr>
          <w:p w:rsidR="007B52E0" w:rsidRPr="005C318D" w:rsidRDefault="007B52E0" w:rsidP="007B52E0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3</w:t>
            </w:r>
          </w:p>
        </w:tc>
        <w:tc>
          <w:tcPr>
            <w:tcW w:w="708" w:type="dxa"/>
            <w:shd w:val="clear" w:color="auto" w:fill="FFC000"/>
          </w:tcPr>
          <w:p w:rsidR="007B52E0" w:rsidRPr="005C318D" w:rsidRDefault="007B52E0" w:rsidP="007B52E0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4</w:t>
            </w:r>
          </w:p>
        </w:tc>
        <w:tc>
          <w:tcPr>
            <w:tcW w:w="709" w:type="dxa"/>
            <w:shd w:val="clear" w:color="auto" w:fill="FFC000"/>
          </w:tcPr>
          <w:p w:rsidR="007B52E0" w:rsidRPr="005C318D" w:rsidRDefault="007B52E0" w:rsidP="007B52E0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5</w:t>
            </w:r>
          </w:p>
        </w:tc>
        <w:tc>
          <w:tcPr>
            <w:tcW w:w="709" w:type="dxa"/>
            <w:shd w:val="clear" w:color="auto" w:fill="FFC000"/>
          </w:tcPr>
          <w:p w:rsidR="007B52E0" w:rsidRPr="005C318D" w:rsidRDefault="007B52E0" w:rsidP="007B52E0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6</w:t>
            </w:r>
          </w:p>
        </w:tc>
        <w:tc>
          <w:tcPr>
            <w:tcW w:w="708" w:type="dxa"/>
            <w:shd w:val="clear" w:color="auto" w:fill="FFC000"/>
          </w:tcPr>
          <w:p w:rsidR="007B52E0" w:rsidRPr="005C318D" w:rsidRDefault="007B52E0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709" w:type="dxa"/>
            <w:shd w:val="clear" w:color="auto" w:fill="FFC000"/>
          </w:tcPr>
          <w:p w:rsidR="007B52E0" w:rsidRPr="005C318D" w:rsidRDefault="007B52E0" w:rsidP="007B52E0">
            <w:pPr>
              <w:pStyle w:val="KeinLeerraum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IfElse</w:t>
            </w:r>
            <w:proofErr w:type="spellEnd"/>
          </w:p>
        </w:tc>
        <w:tc>
          <w:tcPr>
            <w:tcW w:w="851" w:type="dxa"/>
            <w:shd w:val="clear" w:color="auto" w:fill="FFC000"/>
          </w:tcPr>
          <w:p w:rsidR="007B52E0" w:rsidRPr="00416B79" w:rsidRDefault="007B52E0" w:rsidP="007B52E0">
            <w:pPr>
              <w:pStyle w:val="KeinLeerraum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Types</w:t>
            </w:r>
            <w:proofErr w:type="spellEnd"/>
          </w:p>
        </w:tc>
      </w:tr>
      <w:tr w:rsidR="007B52E0" w:rsidRPr="007B52E0" w:rsidTr="007B52E0">
        <w:trPr>
          <w:gridAfter w:val="9"/>
          <w:wAfter w:w="6555" w:type="dxa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auto"/>
          </w:tcPr>
          <w:p w:rsidR="007B52E0" w:rsidRPr="007B52E0" w:rsidRDefault="007B52E0" w:rsidP="007B52E0">
            <w:pPr>
              <w:pStyle w:val="KeinLeerraum"/>
              <w:rPr>
                <w:b/>
              </w:rPr>
            </w:pPr>
            <w:proofErr w:type="spellStart"/>
            <w:r w:rsidRPr="007B52E0">
              <w:rPr>
                <w:b/>
              </w:rPr>
              <w:t>BackendMIPS</w:t>
            </w:r>
            <w:proofErr w:type="spellEnd"/>
          </w:p>
        </w:tc>
      </w:tr>
      <w:tr w:rsidR="007B52E0" w:rsidTr="007B52E0">
        <w:tc>
          <w:tcPr>
            <w:tcW w:w="2229" w:type="dxa"/>
            <w:tcBorders>
              <w:top w:val="single" w:sz="4" w:space="0" w:color="auto"/>
            </w:tcBorders>
          </w:tcPr>
          <w:p w:rsidR="007B52E0" w:rsidRDefault="007B52E0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7B52E0" w:rsidRDefault="007B52E0" w:rsidP="007B52E0">
            <w:pPr>
              <w:pStyle w:val="KeinLeerraum"/>
              <w:jc w:val="center"/>
            </w:pPr>
            <w:r>
              <w:t>49%</w:t>
            </w:r>
          </w:p>
        </w:tc>
        <w:tc>
          <w:tcPr>
            <w:tcW w:w="722" w:type="dxa"/>
          </w:tcPr>
          <w:p w:rsidR="007B52E0" w:rsidRDefault="007B52E0" w:rsidP="007B52E0">
            <w:pPr>
              <w:pStyle w:val="KeinLeerraum"/>
              <w:jc w:val="center"/>
            </w:pPr>
            <w:r>
              <w:t>50%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59%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61%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3%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47%</w:t>
            </w:r>
          </w:p>
        </w:tc>
        <w:tc>
          <w:tcPr>
            <w:tcW w:w="851" w:type="dxa"/>
          </w:tcPr>
          <w:p w:rsidR="007B52E0" w:rsidRDefault="007B52E0" w:rsidP="007B52E0">
            <w:pPr>
              <w:pStyle w:val="KeinLeerraum"/>
              <w:jc w:val="center"/>
            </w:pPr>
            <w:r>
              <w:t>64%</w:t>
            </w:r>
          </w:p>
        </w:tc>
      </w:tr>
      <w:tr w:rsidR="007B52E0" w:rsidTr="007B52E0">
        <w:tc>
          <w:tcPr>
            <w:tcW w:w="2229" w:type="dxa"/>
          </w:tcPr>
          <w:p w:rsidR="007B52E0" w:rsidRDefault="007B52E0" w:rsidP="007B52E0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7B52E0" w:rsidRDefault="007B52E0" w:rsidP="007B52E0">
            <w:pPr>
              <w:pStyle w:val="KeinLeerraum"/>
              <w:jc w:val="center"/>
            </w:pPr>
            <w:r>
              <w:t>42%</w:t>
            </w:r>
          </w:p>
        </w:tc>
        <w:tc>
          <w:tcPr>
            <w:tcW w:w="722" w:type="dxa"/>
          </w:tcPr>
          <w:p w:rsidR="007B52E0" w:rsidRDefault="007B52E0" w:rsidP="007B52E0">
            <w:pPr>
              <w:pStyle w:val="KeinLeerraum"/>
              <w:jc w:val="center"/>
            </w:pPr>
            <w:r>
              <w:t>42%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51%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57%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66%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55%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2%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39%</w:t>
            </w:r>
          </w:p>
        </w:tc>
        <w:tc>
          <w:tcPr>
            <w:tcW w:w="851" w:type="dxa"/>
          </w:tcPr>
          <w:p w:rsidR="007B52E0" w:rsidRDefault="007B52E0" w:rsidP="007B52E0">
            <w:pPr>
              <w:pStyle w:val="KeinLeerraum"/>
              <w:jc w:val="center"/>
            </w:pPr>
            <w:r>
              <w:t>57%</w:t>
            </w:r>
          </w:p>
        </w:tc>
      </w:tr>
      <w:tr w:rsidR="007B52E0" w:rsidTr="007B52E0">
        <w:trPr>
          <w:gridAfter w:val="9"/>
          <w:wAfter w:w="6555" w:type="dxa"/>
        </w:trPr>
        <w:tc>
          <w:tcPr>
            <w:tcW w:w="2229" w:type="dxa"/>
          </w:tcPr>
          <w:p w:rsidR="007B52E0" w:rsidRPr="00137C48" w:rsidRDefault="007B52E0" w:rsidP="007B52E0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GlobalPointerRegister</w:t>
            </w:r>
            <w:proofErr w:type="spellEnd"/>
          </w:p>
        </w:tc>
      </w:tr>
      <w:tr w:rsidR="007B52E0" w:rsidTr="007B52E0">
        <w:tc>
          <w:tcPr>
            <w:tcW w:w="2229" w:type="dxa"/>
          </w:tcPr>
          <w:p w:rsidR="007B52E0" w:rsidRDefault="007B52E0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7B52E0" w:rsidRDefault="007B52E0" w:rsidP="007B52E0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851" w:type="dxa"/>
          </w:tcPr>
          <w:p w:rsidR="007B52E0" w:rsidRDefault="007B52E0" w:rsidP="007B52E0">
            <w:pPr>
              <w:pStyle w:val="KeinLeerraum"/>
              <w:jc w:val="center"/>
            </w:pPr>
            <w:r>
              <w:t>33%</w:t>
            </w:r>
          </w:p>
        </w:tc>
      </w:tr>
      <w:tr w:rsidR="007B52E0" w:rsidTr="007B52E0">
        <w:tc>
          <w:tcPr>
            <w:tcW w:w="2229" w:type="dxa"/>
          </w:tcPr>
          <w:p w:rsidR="007B52E0" w:rsidRDefault="007B52E0" w:rsidP="007B52E0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7B52E0" w:rsidRDefault="007B52E0" w:rsidP="007B52E0">
            <w:pPr>
              <w:pStyle w:val="KeinLeerraum"/>
              <w:jc w:val="center"/>
            </w:pPr>
            <w:r>
              <w:t>75%</w:t>
            </w:r>
          </w:p>
        </w:tc>
        <w:tc>
          <w:tcPr>
            <w:tcW w:w="722" w:type="dxa"/>
          </w:tcPr>
          <w:p w:rsidR="007B52E0" w:rsidRDefault="007B52E0" w:rsidP="007B52E0">
            <w:pPr>
              <w:pStyle w:val="KeinLeerraum"/>
              <w:jc w:val="center"/>
            </w:pPr>
            <w:r>
              <w:t>23%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76%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23%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23%</w:t>
            </w:r>
          </w:p>
        </w:tc>
        <w:tc>
          <w:tcPr>
            <w:tcW w:w="851" w:type="dxa"/>
          </w:tcPr>
          <w:p w:rsidR="007B52E0" w:rsidRDefault="007B52E0" w:rsidP="007B52E0">
            <w:pPr>
              <w:pStyle w:val="KeinLeerraum"/>
              <w:jc w:val="center"/>
            </w:pPr>
            <w:r>
              <w:t>23%</w:t>
            </w:r>
          </w:p>
        </w:tc>
      </w:tr>
      <w:tr w:rsidR="007B52E0" w:rsidTr="007B52E0">
        <w:trPr>
          <w:gridAfter w:val="9"/>
          <w:wAfter w:w="6555" w:type="dxa"/>
        </w:trPr>
        <w:tc>
          <w:tcPr>
            <w:tcW w:w="2229" w:type="dxa"/>
          </w:tcPr>
          <w:p w:rsidR="007B52E0" w:rsidRPr="00137C48" w:rsidRDefault="007B52E0" w:rsidP="007B52E0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Register</w:t>
            </w:r>
          </w:p>
        </w:tc>
      </w:tr>
      <w:tr w:rsidR="007B52E0" w:rsidTr="007B52E0">
        <w:tc>
          <w:tcPr>
            <w:tcW w:w="2229" w:type="dxa"/>
          </w:tcPr>
          <w:p w:rsidR="007B52E0" w:rsidRDefault="007B52E0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7B52E0" w:rsidTr="007B52E0">
        <w:tc>
          <w:tcPr>
            <w:tcW w:w="2229" w:type="dxa"/>
          </w:tcPr>
          <w:p w:rsidR="007B52E0" w:rsidRDefault="007B52E0" w:rsidP="007B52E0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58%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7B52E0" w:rsidTr="007B52E0">
        <w:trPr>
          <w:gridAfter w:val="9"/>
          <w:wAfter w:w="6555" w:type="dxa"/>
        </w:trPr>
        <w:tc>
          <w:tcPr>
            <w:tcW w:w="2229" w:type="dxa"/>
          </w:tcPr>
          <w:p w:rsidR="007B52E0" w:rsidRPr="00137C48" w:rsidRDefault="007B52E0" w:rsidP="007B52E0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Registers</w:t>
            </w:r>
          </w:p>
        </w:tc>
      </w:tr>
      <w:tr w:rsidR="007B52E0" w:rsidTr="007B52E0">
        <w:tc>
          <w:tcPr>
            <w:tcW w:w="2229" w:type="dxa"/>
          </w:tcPr>
          <w:p w:rsidR="007B52E0" w:rsidRDefault="007B52E0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7B52E0" w:rsidRDefault="007B52E0" w:rsidP="007B52E0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22" w:type="dxa"/>
          </w:tcPr>
          <w:p w:rsidR="007B52E0" w:rsidRDefault="007B52E0" w:rsidP="007B52E0">
            <w:pPr>
              <w:pStyle w:val="KeinLeerraum"/>
              <w:jc w:val="center"/>
            </w:pPr>
            <w:r>
              <w:t>58%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76%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5%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58%</w:t>
            </w:r>
          </w:p>
        </w:tc>
        <w:tc>
          <w:tcPr>
            <w:tcW w:w="851" w:type="dxa"/>
          </w:tcPr>
          <w:p w:rsidR="007B52E0" w:rsidRDefault="007B52E0" w:rsidP="007B52E0">
            <w:pPr>
              <w:pStyle w:val="KeinLeerraum"/>
              <w:jc w:val="center"/>
            </w:pPr>
            <w:r>
              <w:t>64%</w:t>
            </w:r>
          </w:p>
        </w:tc>
      </w:tr>
      <w:tr w:rsidR="007B52E0" w:rsidTr="007B52E0">
        <w:tc>
          <w:tcPr>
            <w:tcW w:w="2229" w:type="dxa"/>
          </w:tcPr>
          <w:p w:rsidR="007B52E0" w:rsidRDefault="007B52E0" w:rsidP="007B52E0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7B52E0" w:rsidRDefault="007B52E0" w:rsidP="007B52E0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722" w:type="dxa"/>
          </w:tcPr>
          <w:p w:rsidR="007B52E0" w:rsidRDefault="007B52E0" w:rsidP="007B52E0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67%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71%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67%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35%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851" w:type="dxa"/>
          </w:tcPr>
          <w:p w:rsidR="007B52E0" w:rsidRDefault="007B52E0" w:rsidP="007B52E0">
            <w:pPr>
              <w:pStyle w:val="KeinLeerraum"/>
              <w:jc w:val="center"/>
            </w:pPr>
            <w:r>
              <w:t>67%</w:t>
            </w:r>
          </w:p>
        </w:tc>
      </w:tr>
      <w:tr w:rsidR="007B52E0" w:rsidTr="007B52E0">
        <w:trPr>
          <w:gridAfter w:val="9"/>
          <w:wAfter w:w="6555" w:type="dxa"/>
        </w:trPr>
        <w:tc>
          <w:tcPr>
            <w:tcW w:w="2229" w:type="dxa"/>
          </w:tcPr>
          <w:p w:rsidR="007B52E0" w:rsidRPr="00137C48" w:rsidRDefault="007B52E0" w:rsidP="007B52E0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Segment</w:t>
            </w:r>
          </w:p>
        </w:tc>
      </w:tr>
      <w:tr w:rsidR="007B52E0" w:rsidTr="007B52E0">
        <w:tc>
          <w:tcPr>
            <w:tcW w:w="2229" w:type="dxa"/>
          </w:tcPr>
          <w:p w:rsidR="007B52E0" w:rsidRDefault="007B52E0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7B52E0" w:rsidTr="007B52E0">
        <w:tc>
          <w:tcPr>
            <w:tcW w:w="2229" w:type="dxa"/>
          </w:tcPr>
          <w:p w:rsidR="007B52E0" w:rsidRDefault="007B52E0" w:rsidP="007B52E0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7B52E0" w:rsidTr="007B52E0">
        <w:trPr>
          <w:gridAfter w:val="9"/>
          <w:wAfter w:w="6555" w:type="dxa"/>
        </w:trPr>
        <w:tc>
          <w:tcPr>
            <w:tcW w:w="2229" w:type="dxa"/>
          </w:tcPr>
          <w:p w:rsidR="007B52E0" w:rsidRPr="00137C48" w:rsidRDefault="007B52E0" w:rsidP="007B52E0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StackPointerRegister</w:t>
            </w:r>
            <w:proofErr w:type="spellEnd"/>
          </w:p>
        </w:tc>
      </w:tr>
      <w:tr w:rsidR="007B52E0" w:rsidTr="007B52E0">
        <w:tc>
          <w:tcPr>
            <w:tcW w:w="2229" w:type="dxa"/>
            <w:shd w:val="clear" w:color="auto" w:fill="auto"/>
          </w:tcPr>
          <w:p w:rsidR="007B52E0" w:rsidRDefault="007B52E0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  <w:shd w:val="clear" w:color="auto" w:fill="auto"/>
          </w:tcPr>
          <w:p w:rsidR="007B52E0" w:rsidRDefault="007B52E0" w:rsidP="007B52E0">
            <w:pPr>
              <w:pStyle w:val="KeinLeerraum"/>
              <w:jc w:val="center"/>
            </w:pPr>
            <w:r>
              <w:t>83%</w:t>
            </w:r>
          </w:p>
        </w:tc>
        <w:tc>
          <w:tcPr>
            <w:tcW w:w="722" w:type="dxa"/>
            <w:shd w:val="clear" w:color="auto" w:fill="auto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  <w:shd w:val="clear" w:color="auto" w:fill="auto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16%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83%</w:t>
            </w:r>
          </w:p>
        </w:tc>
        <w:tc>
          <w:tcPr>
            <w:tcW w:w="851" w:type="dxa"/>
            <w:shd w:val="clear" w:color="auto" w:fill="auto"/>
          </w:tcPr>
          <w:p w:rsidR="007B52E0" w:rsidRDefault="007B52E0" w:rsidP="007B52E0">
            <w:pPr>
              <w:pStyle w:val="KeinLeerraum"/>
              <w:jc w:val="center"/>
            </w:pPr>
            <w:r>
              <w:t>83%</w:t>
            </w:r>
          </w:p>
        </w:tc>
      </w:tr>
      <w:tr w:rsidR="007B52E0" w:rsidTr="007B52E0">
        <w:tc>
          <w:tcPr>
            <w:tcW w:w="2229" w:type="dxa"/>
            <w:shd w:val="clear" w:color="auto" w:fill="auto"/>
          </w:tcPr>
          <w:p w:rsidR="007B52E0" w:rsidRDefault="007B52E0" w:rsidP="007B52E0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  <w:shd w:val="clear" w:color="auto" w:fill="auto"/>
          </w:tcPr>
          <w:p w:rsidR="007B52E0" w:rsidRDefault="007B52E0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22" w:type="dxa"/>
            <w:shd w:val="clear" w:color="auto" w:fill="auto"/>
          </w:tcPr>
          <w:p w:rsidR="007B52E0" w:rsidRDefault="007B52E0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709" w:type="dxa"/>
            <w:shd w:val="clear" w:color="auto" w:fill="auto"/>
          </w:tcPr>
          <w:p w:rsidR="007B52E0" w:rsidRDefault="007B52E0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12%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851" w:type="dxa"/>
            <w:shd w:val="clear" w:color="auto" w:fill="auto"/>
          </w:tcPr>
          <w:p w:rsidR="007B52E0" w:rsidRDefault="007B52E0" w:rsidP="007B52E0">
            <w:pPr>
              <w:pStyle w:val="KeinLeerraum"/>
              <w:jc w:val="center"/>
            </w:pPr>
            <w:r>
              <w:t>70%</w:t>
            </w:r>
          </w:p>
        </w:tc>
      </w:tr>
      <w:tr w:rsidR="007B52E0" w:rsidTr="007B52E0">
        <w:trPr>
          <w:gridAfter w:val="9"/>
          <w:wAfter w:w="6555" w:type="dxa"/>
        </w:trPr>
        <w:tc>
          <w:tcPr>
            <w:tcW w:w="2229" w:type="dxa"/>
          </w:tcPr>
          <w:p w:rsidR="007B52E0" w:rsidRPr="00137C48" w:rsidRDefault="007B52E0" w:rsidP="007B52E0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SyscallCode</w:t>
            </w:r>
            <w:proofErr w:type="spellEnd"/>
          </w:p>
        </w:tc>
      </w:tr>
      <w:tr w:rsidR="007B52E0" w:rsidTr="007B52E0">
        <w:tc>
          <w:tcPr>
            <w:tcW w:w="2229" w:type="dxa"/>
            <w:shd w:val="clear" w:color="auto" w:fill="auto"/>
          </w:tcPr>
          <w:p w:rsidR="007B52E0" w:rsidRDefault="007B52E0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7B52E0" w:rsidTr="007B52E0">
        <w:tc>
          <w:tcPr>
            <w:tcW w:w="2229" w:type="dxa"/>
            <w:shd w:val="clear" w:color="auto" w:fill="auto"/>
          </w:tcPr>
          <w:p w:rsidR="007B52E0" w:rsidRDefault="007B52E0" w:rsidP="007B52E0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7B52E0" w:rsidRDefault="007B52E0" w:rsidP="007B52E0">
            <w:pPr>
              <w:pStyle w:val="KeinLeerraum"/>
              <w:jc w:val="center"/>
            </w:pPr>
            <w:r>
              <w:t>0%</w:t>
            </w:r>
          </w:p>
        </w:tc>
        <w:tc>
          <w:tcPr>
            <w:tcW w:w="709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7B52E0" w:rsidRDefault="007B52E0" w:rsidP="007B52E0">
            <w:pPr>
              <w:pStyle w:val="KeinLeerraum"/>
              <w:jc w:val="center"/>
            </w:pPr>
            <w:r>
              <w:t>100%</w:t>
            </w:r>
          </w:p>
        </w:tc>
      </w:tr>
    </w:tbl>
    <w:p w:rsidR="005F5B04" w:rsidRPr="00856C1A" w:rsidRDefault="00856C1A" w:rsidP="00856C1A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lastRenderedPageBreak/>
        <w:t xml:space="preserve">Code </w:t>
      </w:r>
      <w:proofErr w:type="spellStart"/>
      <w:r>
        <w:rPr>
          <w:b/>
          <w:color w:val="0070C0"/>
          <w:sz w:val="32"/>
          <w:szCs w:val="32"/>
        </w:rPr>
        <w:t>Coverage</w:t>
      </w:r>
      <w:proofErr w:type="spellEnd"/>
      <w:r>
        <w:rPr>
          <w:b/>
          <w:color w:val="0070C0"/>
          <w:sz w:val="32"/>
          <w:szCs w:val="32"/>
        </w:rPr>
        <w:t xml:space="preserve"> - Detailliert</w:t>
      </w:r>
    </w:p>
    <w:p w:rsidR="00816547" w:rsidRDefault="00816547" w:rsidP="00816547">
      <w:pPr>
        <w:pStyle w:val="KeinLeerraum"/>
      </w:pPr>
    </w:p>
    <w:p w:rsidR="00816547" w:rsidRDefault="00816547" w:rsidP="00553E0E">
      <w:pPr>
        <w:pStyle w:val="KeinLeerraum"/>
        <w:numPr>
          <w:ilvl w:val="0"/>
          <w:numId w:val="8"/>
        </w:numPr>
        <w:jc w:val="both"/>
      </w:pPr>
      <w:r>
        <w:t>Von uns wurden zusätzlich zu den Testfällen 1-6 die Testfälle „</w:t>
      </w:r>
      <w:proofErr w:type="spellStart"/>
      <w:r w:rsidRPr="00424ADB">
        <w:t>Test_Error</w:t>
      </w:r>
      <w:proofErr w:type="spellEnd"/>
      <w:r w:rsidRPr="00424ADB">
        <w:t>“, „</w:t>
      </w:r>
      <w:proofErr w:type="spellStart"/>
      <w:r w:rsidRPr="00424ADB">
        <w:t>Test_IfElse</w:t>
      </w:r>
      <w:proofErr w:type="spellEnd"/>
      <w:r w:rsidRPr="00424ADB">
        <w:t>“, „</w:t>
      </w:r>
      <w:proofErr w:type="spellStart"/>
      <w:r w:rsidRPr="00424ADB">
        <w:t>Test_Types</w:t>
      </w:r>
      <w:proofErr w:type="spellEnd"/>
      <w:r w:rsidRPr="00424ADB">
        <w:t>“</w:t>
      </w:r>
      <w:r>
        <w:t xml:space="preserve"> hinzugefügt, durch welche die </w:t>
      </w:r>
      <w:r w:rsidRPr="00011194">
        <w:rPr>
          <w:u w:val="single"/>
        </w:rPr>
        <w:t>Methodenabdeckung</w:t>
      </w:r>
      <w:r>
        <w:t xml:space="preserve">, als auch die </w:t>
      </w:r>
      <w:r w:rsidRPr="00011194">
        <w:rPr>
          <w:u w:val="single"/>
        </w:rPr>
        <w:t>Zeilenabdeckung</w:t>
      </w:r>
      <w:r>
        <w:t xml:space="preserve"> der Klasse </w:t>
      </w:r>
      <w:proofErr w:type="spellStart"/>
      <w:r w:rsidRPr="00424ADB">
        <w:rPr>
          <w:b/>
        </w:rPr>
        <w:t>BackendMIPS</w:t>
      </w:r>
      <w:proofErr w:type="spellEnd"/>
      <w:r w:rsidRPr="00F71407">
        <w:rPr>
          <w:color w:val="FF0000"/>
        </w:rPr>
        <w:t xml:space="preserve"> </w:t>
      </w:r>
      <w:r>
        <w:t>zu 100%</w:t>
      </w:r>
      <w:r w:rsidR="00011194">
        <w:t xml:space="preserve"> gegeben ist.</w:t>
      </w:r>
    </w:p>
    <w:p w:rsidR="00553E0E" w:rsidRDefault="00553E0E" w:rsidP="00816547">
      <w:pPr>
        <w:pStyle w:val="KeinLeerraum"/>
        <w:jc w:val="both"/>
      </w:pPr>
    </w:p>
    <w:p w:rsidR="000D3C43" w:rsidRDefault="007B52E0" w:rsidP="007B52E0">
      <w:pPr>
        <w:pStyle w:val="KeinLeerraum"/>
        <w:numPr>
          <w:ilvl w:val="0"/>
          <w:numId w:val="9"/>
        </w:numPr>
      </w:pPr>
      <w:proofErr w:type="spellStart"/>
      <w:r w:rsidRPr="007B52E0">
        <w:rPr>
          <w:b/>
        </w:rPr>
        <w:t>Test_Error</w:t>
      </w:r>
      <w:proofErr w:type="spellEnd"/>
      <w:r w:rsidRPr="007B52E0">
        <w:rPr>
          <w:b/>
        </w:rPr>
        <w:t>:</w:t>
      </w:r>
      <w:r>
        <w:t xml:space="preserve"> Mit dem Testfall „</w:t>
      </w:r>
      <w:proofErr w:type="spellStart"/>
      <w:r>
        <w:t>Test_Error</w:t>
      </w:r>
      <w:proofErr w:type="spellEnd"/>
      <w:r>
        <w:t>“ wurde der noch nicht abgedeckte Teil der Methode „</w:t>
      </w:r>
      <w:proofErr w:type="spellStart"/>
      <w:r>
        <w:t>BackendMIPS</w:t>
      </w:r>
      <w:proofErr w:type="spellEnd"/>
      <w:r>
        <w:t xml:space="preserve">“ abgedeckt. Mit dem Testfall wird die </w:t>
      </w:r>
      <w:proofErr w:type="spellStart"/>
      <w:r>
        <w:t>If</w:t>
      </w:r>
      <w:proofErr w:type="spellEnd"/>
      <w:r>
        <w:t xml:space="preserve">-Anweisung durch </w:t>
      </w:r>
      <w:proofErr w:type="spellStart"/>
      <w:r>
        <w:t>outputStream</w:t>
      </w:r>
      <w:proofErr w:type="spellEnd"/>
      <w:r>
        <w:t xml:space="preserve"> == 0 erfüllt und es wird eine </w:t>
      </w:r>
      <w:proofErr w:type="spellStart"/>
      <w:r>
        <w:t>Exception</w:t>
      </w:r>
      <w:proofErr w:type="spellEnd"/>
      <w:r>
        <w:t xml:space="preserve"> geworfen.</w:t>
      </w:r>
    </w:p>
    <w:p w:rsidR="00424ADB" w:rsidRDefault="00424ADB" w:rsidP="00424ADB">
      <w:pPr>
        <w:pStyle w:val="KeinLeerraum"/>
        <w:ind w:left="1080"/>
        <w:rPr>
          <w:b/>
        </w:rPr>
      </w:pPr>
    </w:p>
    <w:p w:rsidR="00424ADB" w:rsidRDefault="00424ADB" w:rsidP="00424ADB">
      <w:pPr>
        <w:pStyle w:val="KeinLeerraum"/>
        <w:numPr>
          <w:ilvl w:val="0"/>
          <w:numId w:val="9"/>
        </w:numPr>
      </w:pPr>
      <w:proofErr w:type="spellStart"/>
      <w:r w:rsidRPr="00424ADB">
        <w:rPr>
          <w:b/>
        </w:rPr>
        <w:t>Test_Types</w:t>
      </w:r>
      <w:proofErr w:type="spellEnd"/>
      <w:r>
        <w:t>: Mit diesem Testfall wurden die noch nicht abgedeckten Methoden „</w:t>
      </w:r>
      <w:proofErr w:type="spellStart"/>
      <w:r>
        <w:t>arrayLength</w:t>
      </w:r>
      <w:proofErr w:type="spellEnd"/>
      <w:r>
        <w:t>“, „</w:t>
      </w:r>
      <w:proofErr w:type="spellStart"/>
      <w:r>
        <w:t>neg</w:t>
      </w:r>
      <w:proofErr w:type="spellEnd"/>
      <w:r>
        <w:t>“, „div“, „</w:t>
      </w:r>
      <w:proofErr w:type="spellStart"/>
      <w:r>
        <w:t>mod</w:t>
      </w:r>
      <w:proofErr w:type="spellEnd"/>
      <w:r>
        <w:t>“, „</w:t>
      </w:r>
      <w:proofErr w:type="spellStart"/>
      <w:r>
        <w:t>isLess</w:t>
      </w:r>
      <w:proofErr w:type="spellEnd"/>
      <w:r>
        <w:t>“, „</w:t>
      </w:r>
      <w:proofErr w:type="spellStart"/>
      <w:r>
        <w:t>isLessOrEqual</w:t>
      </w:r>
      <w:proofErr w:type="spellEnd"/>
      <w:r>
        <w:t>“, „</w:t>
      </w:r>
      <w:proofErr w:type="spellStart"/>
      <w:r>
        <w:t>isEqual</w:t>
      </w:r>
      <w:proofErr w:type="spellEnd"/>
      <w:r>
        <w:t>“, „not“, „</w:t>
      </w:r>
      <w:proofErr w:type="spellStart"/>
      <w:r>
        <w:t>and</w:t>
      </w:r>
      <w:proofErr w:type="spellEnd"/>
      <w:r>
        <w:t>“, „</w:t>
      </w:r>
      <w:proofErr w:type="spellStart"/>
      <w:r>
        <w:t>or</w:t>
      </w:r>
      <w:proofErr w:type="spellEnd"/>
      <w:r>
        <w:t>“ und „</w:t>
      </w:r>
      <w:proofErr w:type="spellStart"/>
      <w:r>
        <w:t>branchIf</w:t>
      </w:r>
      <w:proofErr w:type="spellEnd"/>
      <w:r>
        <w:t>“ abgedeckt.</w:t>
      </w:r>
    </w:p>
    <w:p w:rsidR="00424ADB" w:rsidRDefault="00424ADB" w:rsidP="00424ADB">
      <w:pPr>
        <w:pStyle w:val="KeinLeerraum"/>
      </w:pPr>
    </w:p>
    <w:p w:rsidR="00424ADB" w:rsidRDefault="007B52E0" w:rsidP="00424ADB">
      <w:pPr>
        <w:pStyle w:val="KeinLeerraum"/>
        <w:numPr>
          <w:ilvl w:val="0"/>
          <w:numId w:val="9"/>
        </w:numPr>
      </w:pPr>
      <w:proofErr w:type="spellStart"/>
      <w:r>
        <w:rPr>
          <w:b/>
        </w:rPr>
        <w:t>Test_IfElse</w:t>
      </w:r>
      <w:proofErr w:type="spellEnd"/>
      <w:r>
        <w:rPr>
          <w:b/>
        </w:rPr>
        <w:t>:</w:t>
      </w:r>
      <w:r>
        <w:t xml:space="preserve"> </w:t>
      </w:r>
      <w:r w:rsidR="00424ADB">
        <w:t>Mit dem Testfall wurde in der Methode „</w:t>
      </w:r>
      <w:proofErr w:type="spellStart"/>
      <w:r w:rsidR="00424ADB">
        <w:t>storeArrayDim</w:t>
      </w:r>
      <w:proofErr w:type="spellEnd"/>
      <w:r w:rsidR="00424ADB">
        <w:t xml:space="preserve">“ die </w:t>
      </w:r>
      <w:proofErr w:type="spellStart"/>
      <w:r w:rsidR="00424ADB">
        <w:t>If</w:t>
      </w:r>
      <w:proofErr w:type="spellEnd"/>
      <w:r w:rsidR="00424ADB">
        <w:t>-Anweisung ausgeführt, sowie in der Methode „</w:t>
      </w:r>
      <w:proofErr w:type="spellStart"/>
      <w:r w:rsidR="00424ADB">
        <w:t>loadAdress</w:t>
      </w:r>
      <w:proofErr w:type="spellEnd"/>
      <w:r w:rsidR="00424ADB">
        <w:t>“ der Else-Zweig benutzt.</w:t>
      </w:r>
    </w:p>
    <w:p w:rsidR="007B52E0" w:rsidRDefault="007B52E0" w:rsidP="00424ADB">
      <w:pPr>
        <w:pStyle w:val="KeinLeerraum"/>
      </w:pPr>
    </w:p>
    <w:p w:rsidR="00424ADB" w:rsidRDefault="00424ADB" w:rsidP="00424ADB">
      <w:pPr>
        <w:pStyle w:val="KeinLeerraum"/>
        <w:numPr>
          <w:ilvl w:val="0"/>
          <w:numId w:val="8"/>
        </w:numPr>
      </w:pPr>
      <w:r>
        <w:t>Ob eine ganze Methode, nur zeilenweise Abdeckung oder gar keine Abdeckung der Methode vorliegt, wird in der untenstehenden Tabelle dargestellt.</w:t>
      </w:r>
    </w:p>
    <w:p w:rsidR="007B52E0" w:rsidRDefault="007B52E0" w:rsidP="007B52E0">
      <w:pPr>
        <w:pStyle w:val="KeinLeerraum"/>
      </w:pPr>
    </w:p>
    <w:p w:rsidR="007B52E0" w:rsidRPr="00C53386" w:rsidRDefault="007B52E0" w:rsidP="007B52E0">
      <w:pPr>
        <w:pStyle w:val="KeinLeerraum"/>
        <w:rPr>
          <w:b/>
        </w:rPr>
      </w:pPr>
      <w:r w:rsidRPr="00C53386">
        <w:rPr>
          <w:b/>
        </w:rPr>
        <w:t>Agenda:</w:t>
      </w:r>
    </w:p>
    <w:p w:rsidR="007B52E0" w:rsidRDefault="007B52E0" w:rsidP="007B52E0">
      <w:pPr>
        <w:pStyle w:val="KeinLeerraum"/>
        <w:numPr>
          <w:ilvl w:val="0"/>
          <w:numId w:val="2"/>
        </w:numPr>
      </w:pPr>
      <w:r w:rsidRPr="00C53386">
        <w:rPr>
          <w:shd w:val="clear" w:color="auto" w:fill="92D050"/>
        </w:rPr>
        <w:t>Grün</w:t>
      </w:r>
      <w:r>
        <w:t xml:space="preserve"> – Vollständige Abdeckung der gesamten Methode</w:t>
      </w:r>
    </w:p>
    <w:p w:rsidR="007B52E0" w:rsidRDefault="007B52E0" w:rsidP="007B52E0">
      <w:pPr>
        <w:pStyle w:val="KeinLeerraum"/>
        <w:numPr>
          <w:ilvl w:val="0"/>
          <w:numId w:val="2"/>
        </w:numPr>
      </w:pPr>
      <w:r w:rsidRPr="00C53386">
        <w:rPr>
          <w:shd w:val="clear" w:color="auto" w:fill="FFFF00"/>
        </w:rPr>
        <w:t>Gelb</w:t>
      </w:r>
      <w:r>
        <w:t xml:space="preserve"> – Zeilenweise Abdeckung der Methode</w:t>
      </w:r>
    </w:p>
    <w:p w:rsidR="007B52E0" w:rsidRDefault="007B52E0" w:rsidP="007B52E0">
      <w:pPr>
        <w:pStyle w:val="KeinLeerraum"/>
        <w:numPr>
          <w:ilvl w:val="0"/>
          <w:numId w:val="2"/>
        </w:numPr>
      </w:pPr>
      <w:r w:rsidRPr="00C53386">
        <w:rPr>
          <w:shd w:val="clear" w:color="auto" w:fill="FF0000"/>
        </w:rPr>
        <w:t>Rot</w:t>
      </w:r>
      <w:r>
        <w:t xml:space="preserve"> – Keine Abdeckung der Methode</w:t>
      </w:r>
    </w:p>
    <w:p w:rsidR="007B52E0" w:rsidRPr="00553E0E" w:rsidRDefault="007B52E0" w:rsidP="009B4D0E">
      <w:pPr>
        <w:pStyle w:val="KeinLeerraum"/>
      </w:pPr>
    </w:p>
    <w:tbl>
      <w:tblPr>
        <w:tblStyle w:val="Tabellenraster"/>
        <w:tblW w:w="95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791"/>
        <w:gridCol w:w="418"/>
        <w:gridCol w:w="417"/>
        <w:gridCol w:w="417"/>
        <w:gridCol w:w="417"/>
        <w:gridCol w:w="417"/>
        <w:gridCol w:w="417"/>
        <w:gridCol w:w="709"/>
        <w:gridCol w:w="709"/>
        <w:gridCol w:w="709"/>
        <w:gridCol w:w="2127"/>
      </w:tblGrid>
      <w:tr w:rsidR="007B52E0" w:rsidRPr="00295927" w:rsidTr="00424ADB">
        <w:tc>
          <w:tcPr>
            <w:tcW w:w="2791" w:type="dxa"/>
            <w:shd w:val="clear" w:color="auto" w:fill="9CC2E5" w:themeFill="accent1" w:themeFillTint="99"/>
          </w:tcPr>
          <w:p w:rsidR="007B52E0" w:rsidRPr="00295927" w:rsidRDefault="007B52E0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Testfälle</w:t>
            </w:r>
          </w:p>
          <w:p w:rsidR="007B52E0" w:rsidRPr="00295927" w:rsidRDefault="007B52E0" w:rsidP="00F71407">
            <w:pPr>
              <w:pStyle w:val="KeinLeerraum"/>
              <w:ind w:left="360"/>
              <w:jc w:val="center"/>
              <w:rPr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9CC2E5" w:themeFill="accent1" w:themeFillTint="99"/>
          </w:tcPr>
          <w:p w:rsidR="007B52E0" w:rsidRPr="00295927" w:rsidRDefault="007B52E0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1</w:t>
            </w:r>
          </w:p>
        </w:tc>
        <w:tc>
          <w:tcPr>
            <w:tcW w:w="417" w:type="dxa"/>
            <w:shd w:val="clear" w:color="auto" w:fill="9CC2E5" w:themeFill="accent1" w:themeFillTint="99"/>
          </w:tcPr>
          <w:p w:rsidR="007B52E0" w:rsidRPr="00295927" w:rsidRDefault="007B52E0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2</w:t>
            </w:r>
          </w:p>
        </w:tc>
        <w:tc>
          <w:tcPr>
            <w:tcW w:w="417" w:type="dxa"/>
            <w:shd w:val="clear" w:color="auto" w:fill="9CC2E5" w:themeFill="accent1" w:themeFillTint="99"/>
          </w:tcPr>
          <w:p w:rsidR="007B52E0" w:rsidRPr="00295927" w:rsidRDefault="007B52E0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3</w:t>
            </w:r>
          </w:p>
        </w:tc>
        <w:tc>
          <w:tcPr>
            <w:tcW w:w="417" w:type="dxa"/>
            <w:shd w:val="clear" w:color="auto" w:fill="9CC2E5" w:themeFill="accent1" w:themeFillTint="99"/>
          </w:tcPr>
          <w:p w:rsidR="007B52E0" w:rsidRPr="00295927" w:rsidRDefault="007B52E0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4</w:t>
            </w:r>
          </w:p>
        </w:tc>
        <w:tc>
          <w:tcPr>
            <w:tcW w:w="417" w:type="dxa"/>
            <w:shd w:val="clear" w:color="auto" w:fill="9CC2E5" w:themeFill="accent1" w:themeFillTint="99"/>
          </w:tcPr>
          <w:p w:rsidR="007B52E0" w:rsidRPr="00295927" w:rsidRDefault="007B52E0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5</w:t>
            </w:r>
          </w:p>
        </w:tc>
        <w:tc>
          <w:tcPr>
            <w:tcW w:w="417" w:type="dxa"/>
            <w:shd w:val="clear" w:color="auto" w:fill="9CC2E5" w:themeFill="accent1" w:themeFillTint="99"/>
          </w:tcPr>
          <w:p w:rsidR="007B52E0" w:rsidRPr="00295927" w:rsidRDefault="007B52E0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7B52E0" w:rsidRPr="009316EA" w:rsidRDefault="007B52E0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9316EA">
              <w:rPr>
                <w:sz w:val="20"/>
                <w:szCs w:val="20"/>
              </w:rPr>
              <w:t>Error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7B52E0" w:rsidRPr="009316EA" w:rsidRDefault="007B52E0" w:rsidP="00F71407">
            <w:pPr>
              <w:pStyle w:val="KeinLeerraum"/>
              <w:jc w:val="center"/>
              <w:rPr>
                <w:sz w:val="20"/>
                <w:szCs w:val="20"/>
              </w:rPr>
            </w:pPr>
            <w:proofErr w:type="spellStart"/>
            <w:r w:rsidRPr="009316EA">
              <w:rPr>
                <w:sz w:val="20"/>
                <w:szCs w:val="20"/>
              </w:rPr>
              <w:t>Types</w:t>
            </w:r>
            <w:proofErr w:type="spellEnd"/>
          </w:p>
        </w:tc>
        <w:tc>
          <w:tcPr>
            <w:tcW w:w="709" w:type="dxa"/>
            <w:shd w:val="clear" w:color="auto" w:fill="9CC2E5" w:themeFill="accent1" w:themeFillTint="99"/>
          </w:tcPr>
          <w:p w:rsidR="007B52E0" w:rsidRPr="009316EA" w:rsidRDefault="007B52E0" w:rsidP="00F71407">
            <w:pPr>
              <w:pStyle w:val="KeinLeerraum"/>
              <w:jc w:val="center"/>
              <w:rPr>
                <w:sz w:val="20"/>
                <w:szCs w:val="20"/>
              </w:rPr>
            </w:pPr>
            <w:proofErr w:type="spellStart"/>
            <w:r w:rsidRPr="009316EA">
              <w:rPr>
                <w:sz w:val="20"/>
                <w:szCs w:val="20"/>
              </w:rPr>
              <w:t>IfElse</w:t>
            </w:r>
            <w:proofErr w:type="spellEnd"/>
          </w:p>
        </w:tc>
        <w:tc>
          <w:tcPr>
            <w:tcW w:w="2127" w:type="dxa"/>
            <w:shd w:val="clear" w:color="auto" w:fill="9CC2E5" w:themeFill="accent1" w:themeFillTint="99"/>
          </w:tcPr>
          <w:p w:rsidR="007B52E0" w:rsidRPr="00295927" w:rsidRDefault="007B52E0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In Summe</w:t>
            </w:r>
          </w:p>
        </w:tc>
      </w:tr>
      <w:tr w:rsidR="007B52E0" w:rsidTr="00424ADB">
        <w:trPr>
          <w:gridAfter w:val="10"/>
          <w:wAfter w:w="6757" w:type="dxa"/>
        </w:trPr>
        <w:tc>
          <w:tcPr>
            <w:tcW w:w="2791" w:type="dxa"/>
            <w:shd w:val="clear" w:color="auto" w:fill="FFC000"/>
          </w:tcPr>
          <w:p w:rsidR="007B52E0" w:rsidRPr="009B4D0E" w:rsidRDefault="007B52E0" w:rsidP="00F71407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BackendMIPS</w:t>
            </w:r>
            <w:proofErr w:type="spellEnd"/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BackendMIPS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changeSegment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wordSize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boolValue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allocReg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freeReg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zeroReg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emitLabel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allocStaticData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allocStringConstant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allocStack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allocHeap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move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storeArrayDim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allocArray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loadConst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loadAdress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loadWord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storeWord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loadWordReg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loadWordReg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storeWordReg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lastRenderedPageBreak/>
              <w:t>arrayOffset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arrayLength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writeString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syscall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neg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add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addConst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sub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mul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mulConst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r>
              <w:t>div</w:t>
            </w:r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mod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isLess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isLessOrEqual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isEqual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r>
              <w:t>not</w:t>
            </w:r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and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or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branchIf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r>
              <w:t>jump</w:t>
            </w:r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enterMain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exitMain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enterProc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exitProc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jumpRegister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returnFromProc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prepareProcCall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jumpAndLink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passArg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callProc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paramOffset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writePredefinedProcedures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  <w:tr w:rsidR="007B52E0" w:rsidTr="00424ADB">
        <w:tc>
          <w:tcPr>
            <w:tcW w:w="2791" w:type="dxa"/>
          </w:tcPr>
          <w:p w:rsidR="007B52E0" w:rsidRDefault="007B52E0" w:rsidP="00F71407">
            <w:pPr>
              <w:pStyle w:val="KeinLeerraum"/>
              <w:jc w:val="center"/>
            </w:pPr>
            <w:proofErr w:type="spellStart"/>
            <w:r>
              <w:t>writeProcedure_writeint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7B52E0" w:rsidRDefault="007B52E0" w:rsidP="00F71407">
            <w:pPr>
              <w:pStyle w:val="KeinLeerraum"/>
              <w:jc w:val="center"/>
            </w:pPr>
          </w:p>
        </w:tc>
      </w:tr>
    </w:tbl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9B4D0E" w:rsidRDefault="009B4D0E" w:rsidP="009B4D0E">
      <w:pPr>
        <w:pStyle w:val="KeinLeerraum"/>
      </w:pPr>
    </w:p>
    <w:sectPr w:rsidR="009B4D0E" w:rsidSect="007B52E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FDA" w:rsidRDefault="00585FDA" w:rsidP="00137C48">
      <w:pPr>
        <w:spacing w:after="0" w:line="240" w:lineRule="auto"/>
      </w:pPr>
      <w:r>
        <w:separator/>
      </w:r>
    </w:p>
  </w:endnote>
  <w:endnote w:type="continuationSeparator" w:id="0">
    <w:p w:rsidR="00585FDA" w:rsidRDefault="00585FDA" w:rsidP="0013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FDA" w:rsidRDefault="00585FDA" w:rsidP="00137C48">
      <w:pPr>
        <w:spacing w:after="0" w:line="240" w:lineRule="auto"/>
      </w:pPr>
      <w:r>
        <w:separator/>
      </w:r>
    </w:p>
  </w:footnote>
  <w:footnote w:type="continuationSeparator" w:id="0">
    <w:p w:rsidR="00585FDA" w:rsidRDefault="00585FDA" w:rsidP="0013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407" w:rsidRDefault="007B52E0" w:rsidP="00553E0E">
    <w:pPr>
      <w:pStyle w:val="Kopfzeile"/>
      <w:pBdr>
        <w:bottom w:val="single" w:sz="4" w:space="1" w:color="auto"/>
      </w:pBdr>
    </w:pPr>
    <w:r>
      <w:t>README CA1</w:t>
    </w:r>
    <w:r w:rsidR="00553E0E">
      <w:tab/>
    </w:r>
    <w:r w:rsidR="00553E0E">
      <w:tab/>
    </w:r>
    <w:r>
      <w:t xml:space="preserve">       </w:t>
    </w:r>
    <w:r w:rsidR="00F71407">
      <w:t xml:space="preserve">Weinberger, </w:t>
    </w:r>
    <w:proofErr w:type="spellStart"/>
    <w:r w:rsidR="00F71407">
      <w:t>Feistritzer</w:t>
    </w:r>
    <w:proofErr w:type="spellEnd"/>
    <w:r w:rsidR="00F71407">
      <w:t>, Wallner</w:t>
    </w:r>
  </w:p>
  <w:p w:rsidR="00F71407" w:rsidRDefault="00F7140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3D01"/>
    <w:multiLevelType w:val="hybridMultilevel"/>
    <w:tmpl w:val="2492808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D2649"/>
    <w:multiLevelType w:val="hybridMultilevel"/>
    <w:tmpl w:val="7636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C00C5"/>
    <w:multiLevelType w:val="hybridMultilevel"/>
    <w:tmpl w:val="230ABCBC"/>
    <w:lvl w:ilvl="0" w:tplc="91F289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0292C"/>
    <w:multiLevelType w:val="hybridMultilevel"/>
    <w:tmpl w:val="F82A24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3557BE"/>
    <w:multiLevelType w:val="hybridMultilevel"/>
    <w:tmpl w:val="E22C4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D5844"/>
    <w:multiLevelType w:val="hybridMultilevel"/>
    <w:tmpl w:val="3F807A8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D1632"/>
    <w:multiLevelType w:val="hybridMultilevel"/>
    <w:tmpl w:val="3D30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8706B"/>
    <w:multiLevelType w:val="hybridMultilevel"/>
    <w:tmpl w:val="A76C5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02AAB"/>
    <w:multiLevelType w:val="hybridMultilevel"/>
    <w:tmpl w:val="8F2043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4C5238"/>
    <w:multiLevelType w:val="hybridMultilevel"/>
    <w:tmpl w:val="CC52F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E4"/>
    <w:rsid w:val="00011194"/>
    <w:rsid w:val="0004224B"/>
    <w:rsid w:val="0004765A"/>
    <w:rsid w:val="00091D0C"/>
    <w:rsid w:val="000B77E4"/>
    <w:rsid w:val="000D3C43"/>
    <w:rsid w:val="00117496"/>
    <w:rsid w:val="00130686"/>
    <w:rsid w:val="00137C48"/>
    <w:rsid w:val="001778D8"/>
    <w:rsid w:val="001B3389"/>
    <w:rsid w:val="001D3E9C"/>
    <w:rsid w:val="00215890"/>
    <w:rsid w:val="00243F69"/>
    <w:rsid w:val="00295927"/>
    <w:rsid w:val="002B28BB"/>
    <w:rsid w:val="002C15D2"/>
    <w:rsid w:val="002F6CEE"/>
    <w:rsid w:val="0031112E"/>
    <w:rsid w:val="003247ED"/>
    <w:rsid w:val="003637C1"/>
    <w:rsid w:val="0037679E"/>
    <w:rsid w:val="00391847"/>
    <w:rsid w:val="00416B79"/>
    <w:rsid w:val="00424ADB"/>
    <w:rsid w:val="0045071B"/>
    <w:rsid w:val="0045678D"/>
    <w:rsid w:val="004730E7"/>
    <w:rsid w:val="005002C4"/>
    <w:rsid w:val="00515118"/>
    <w:rsid w:val="00531D9D"/>
    <w:rsid w:val="00553E0E"/>
    <w:rsid w:val="00554E7C"/>
    <w:rsid w:val="00577899"/>
    <w:rsid w:val="00585FDA"/>
    <w:rsid w:val="005C318D"/>
    <w:rsid w:val="005E5C96"/>
    <w:rsid w:val="005F5B04"/>
    <w:rsid w:val="00640C15"/>
    <w:rsid w:val="00665C21"/>
    <w:rsid w:val="00674920"/>
    <w:rsid w:val="00681A2C"/>
    <w:rsid w:val="006905D1"/>
    <w:rsid w:val="006C6DF0"/>
    <w:rsid w:val="007422DF"/>
    <w:rsid w:val="007A09FE"/>
    <w:rsid w:val="007B52E0"/>
    <w:rsid w:val="007F4806"/>
    <w:rsid w:val="00816547"/>
    <w:rsid w:val="00835A75"/>
    <w:rsid w:val="00856C1A"/>
    <w:rsid w:val="008760D6"/>
    <w:rsid w:val="00920161"/>
    <w:rsid w:val="009316EA"/>
    <w:rsid w:val="0093405D"/>
    <w:rsid w:val="009B4D0E"/>
    <w:rsid w:val="009D70AF"/>
    <w:rsid w:val="009E38B2"/>
    <w:rsid w:val="00A739E1"/>
    <w:rsid w:val="00A94AB1"/>
    <w:rsid w:val="00A96EAE"/>
    <w:rsid w:val="00B1247B"/>
    <w:rsid w:val="00B318EF"/>
    <w:rsid w:val="00B53F78"/>
    <w:rsid w:val="00B63621"/>
    <w:rsid w:val="00B70585"/>
    <w:rsid w:val="00B871DC"/>
    <w:rsid w:val="00BE53C4"/>
    <w:rsid w:val="00C30FAD"/>
    <w:rsid w:val="00C34683"/>
    <w:rsid w:val="00C41C3C"/>
    <w:rsid w:val="00C53386"/>
    <w:rsid w:val="00CB0E95"/>
    <w:rsid w:val="00CE1DB4"/>
    <w:rsid w:val="00D46922"/>
    <w:rsid w:val="00D53632"/>
    <w:rsid w:val="00DA64F7"/>
    <w:rsid w:val="00E51B44"/>
    <w:rsid w:val="00EA0EA0"/>
    <w:rsid w:val="00EE508B"/>
    <w:rsid w:val="00F71407"/>
    <w:rsid w:val="00F967C5"/>
    <w:rsid w:val="00FD38D9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AE1D3-96B4-4863-852D-444CD84A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D0E"/>
    <w:pPr>
      <w:spacing w:after="0" w:line="240" w:lineRule="auto"/>
    </w:pPr>
    <w:rPr>
      <w:lang w:val="de-AT"/>
    </w:rPr>
  </w:style>
  <w:style w:type="table" w:styleId="Tabellenraster">
    <w:name w:val="Table Grid"/>
    <w:basedOn w:val="NormaleTabelle"/>
    <w:uiPriority w:val="39"/>
    <w:rsid w:val="009B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B4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B4D0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Kopfzeile">
    <w:name w:val="header"/>
    <w:basedOn w:val="Standard"/>
    <w:link w:val="KopfzeileZchn"/>
    <w:uiPriority w:val="99"/>
    <w:unhideWhenUsed/>
    <w:rsid w:val="00137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7C48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137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7C48"/>
    <w:rPr>
      <w:lang w:val="de-AT"/>
    </w:rPr>
  </w:style>
  <w:style w:type="paragraph" w:styleId="Listenabsatz">
    <w:name w:val="List Paragraph"/>
    <w:basedOn w:val="Standard"/>
    <w:uiPriority w:val="34"/>
    <w:qFormat/>
    <w:rsid w:val="0042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72037-18AB-4DCC-A53E-0CCBEF7D7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39</cp:revision>
  <dcterms:created xsi:type="dcterms:W3CDTF">2018-04-07T23:09:00Z</dcterms:created>
  <dcterms:modified xsi:type="dcterms:W3CDTF">2018-04-11T09:29:00Z</dcterms:modified>
</cp:coreProperties>
</file>