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E0246" w14:textId="77777777" w:rsidR="004E0D70" w:rsidRPr="004E0D70" w:rsidRDefault="004E0D70" w:rsidP="004E0D70">
      <w:pPr>
        <w:jc w:val="center"/>
        <w:rPr>
          <w:sz w:val="32"/>
          <w:szCs w:val="32"/>
        </w:rPr>
      </w:pPr>
      <w:r w:rsidRPr="004E0D70">
        <w:rPr>
          <w:b/>
          <w:bCs/>
          <w:sz w:val="32"/>
          <w:szCs w:val="32"/>
        </w:rPr>
        <w:t>PHÂN TÍCH TRADE-OFF GIẢI PHÁP TÍCH HỢP THANH TOÁN VÀ ĐỐI SOÁT COD</w:t>
      </w:r>
    </w:p>
    <w:p w14:paraId="42B39B30" w14:textId="77777777" w:rsidR="004E0D70" w:rsidRDefault="004E0D70" w:rsidP="004E0D70">
      <w:pPr>
        <w:rPr>
          <w:lang w:val="vi-VN"/>
        </w:rPr>
      </w:pPr>
      <w:r w:rsidRPr="004E0D70">
        <w:rPr>
          <w:b/>
          <w:bCs/>
        </w:rPr>
        <w:t>Phần 1:</w:t>
      </w:r>
      <w:r w:rsidRPr="004E0D70">
        <w:t xml:space="preserve"> Trình bày ngắn gọn cơ chế Giải pháp 1 (Sync API) và Giải pháp 2 (Async Webhook/Queue). Lập bảng Trade-off theo 3 tiêu chí: Độ tin cậy khi nghẽn mạng, Độ phức tạp triển khai, Rủi ro sai lệch dữ liệu tài chính. Chọn giải pháp và giải thích lý do.</w:t>
      </w:r>
    </w:p>
    <w:p w14:paraId="2D449F19" w14:textId="4D150317" w:rsidR="004E0D70" w:rsidRPr="004E0D70" w:rsidRDefault="004E0D70" w:rsidP="004E0D70">
      <w:pPr>
        <w:pStyle w:val="ListParagraph"/>
        <w:numPr>
          <w:ilvl w:val="0"/>
          <w:numId w:val="1"/>
        </w:numPr>
        <w:rPr>
          <w:lang w:val="vi-VN"/>
        </w:rPr>
      </w:pPr>
      <w:r w:rsidRPr="004E0D70">
        <w:rPr>
          <w:b/>
          <w:bCs/>
          <w:lang w:val="vi-VN"/>
        </w:rPr>
        <w:t>Giải pháp 1 – Sync API:</w:t>
      </w:r>
      <w:r w:rsidRPr="004E0D70">
        <w:rPr>
          <w:lang w:val="vi-VN"/>
        </w:rPr>
        <w:t xml:space="preserve"> RikkeiLogistics gọi trực tiếp Cổng thanh toán và chờ kết quả trả về. Dễ triển khai nhưng khi mạng lỗi hoặc timeout có thể xảy ra tình trạng khách đã bị trừ tiền nhưng hệ thống chưa cập nhật</w:t>
      </w:r>
    </w:p>
    <w:p w14:paraId="3C985A6C" w14:textId="7F647CCF" w:rsidR="004E0D70" w:rsidRDefault="004E0D70" w:rsidP="004E0D70">
      <w:pPr>
        <w:pStyle w:val="ListParagraph"/>
        <w:numPr>
          <w:ilvl w:val="0"/>
          <w:numId w:val="1"/>
        </w:numPr>
        <w:rPr>
          <w:lang w:val="vi-VN"/>
        </w:rPr>
      </w:pPr>
      <w:r w:rsidRPr="004E0D70">
        <w:rPr>
          <w:b/>
          <w:bCs/>
          <w:lang w:val="vi-VN"/>
        </w:rPr>
        <w:t>Giải pháp 2 – Async Webhook + Queue:</w:t>
      </w:r>
      <w:r w:rsidRPr="004E0D70">
        <w:rPr>
          <w:lang w:val="vi-VN"/>
        </w:rPr>
        <w:t xml:space="preserve"> Cổng thanh toán gửi kết quả qua Webhook, dữ liệu được đưa vào Message Queue rồi Billing Service xử lý. Có thể retry khi lỗi và chống xử lý giao dịch trùng</w:t>
      </w:r>
    </w:p>
    <w:tbl>
      <w:tblPr>
        <w:tblStyle w:val="TableGrid"/>
        <w:tblW w:w="0" w:type="auto"/>
        <w:tblInd w:w="360" w:type="dxa"/>
        <w:tblLook w:val="04A0" w:firstRow="1" w:lastRow="0" w:firstColumn="1" w:lastColumn="0" w:noHBand="0" w:noVBand="1"/>
      </w:tblPr>
      <w:tblGrid>
        <w:gridCol w:w="2985"/>
        <w:gridCol w:w="2990"/>
        <w:gridCol w:w="3015"/>
      </w:tblGrid>
      <w:tr w:rsidR="004E0D70" w:rsidRPr="004E0D70" w14:paraId="3FDCA812" w14:textId="77777777" w:rsidTr="004E0D70">
        <w:tc>
          <w:tcPr>
            <w:tcW w:w="2985" w:type="dxa"/>
          </w:tcPr>
          <w:p w14:paraId="172E0708" w14:textId="43151356" w:rsidR="004E0D70" w:rsidRPr="004E0D70" w:rsidRDefault="004E0D70" w:rsidP="004E0D70">
            <w:pPr>
              <w:rPr>
                <w:rFonts w:ascii="Aptos" w:hAnsi="Aptos"/>
                <w:lang w:val="vi-VN"/>
              </w:rPr>
            </w:pPr>
            <w:r w:rsidRPr="004E0D70">
              <w:rPr>
                <w:rFonts w:ascii="Aptos" w:hAnsi="Aptos"/>
                <w:lang w:val="vi-VN"/>
              </w:rPr>
              <w:t>Tiêu chí</w:t>
            </w:r>
          </w:p>
        </w:tc>
        <w:tc>
          <w:tcPr>
            <w:tcW w:w="2990" w:type="dxa"/>
          </w:tcPr>
          <w:p w14:paraId="5BD08EAD" w14:textId="47E2BF69" w:rsidR="004E0D70" w:rsidRPr="004E0D70" w:rsidRDefault="004E0D70" w:rsidP="004E0D70">
            <w:pPr>
              <w:rPr>
                <w:rFonts w:ascii="Aptos" w:hAnsi="Aptos"/>
                <w:lang w:val="vi-VN"/>
              </w:rPr>
            </w:pPr>
            <w:r w:rsidRPr="004E0D70">
              <w:rPr>
                <w:rFonts w:ascii="Aptos" w:hAnsi="Aptos"/>
                <w:lang w:val="vi-VN"/>
              </w:rPr>
              <w:t>Sync API</w:t>
            </w:r>
          </w:p>
        </w:tc>
        <w:tc>
          <w:tcPr>
            <w:tcW w:w="3015" w:type="dxa"/>
          </w:tcPr>
          <w:p w14:paraId="6AFE7BB4" w14:textId="16F121A9" w:rsidR="004E0D70" w:rsidRPr="004E0D70" w:rsidRDefault="004E0D70" w:rsidP="004E0D70">
            <w:pPr>
              <w:rPr>
                <w:rFonts w:ascii="Aptos" w:hAnsi="Aptos"/>
                <w:lang w:val="vi-VN"/>
              </w:rPr>
            </w:pPr>
            <w:r w:rsidRPr="004E0D70">
              <w:rPr>
                <w:rFonts w:ascii="Aptos" w:hAnsi="Aptos"/>
                <w:lang w:val="vi-VN"/>
              </w:rPr>
              <w:t>Async Webhook + Queue</w:t>
            </w:r>
          </w:p>
        </w:tc>
      </w:tr>
      <w:tr w:rsidR="004E0D70" w:rsidRPr="004E0D70" w14:paraId="7BE93735" w14:textId="77777777" w:rsidTr="004E0D70">
        <w:tc>
          <w:tcPr>
            <w:tcW w:w="2985" w:type="dxa"/>
            <w:vAlign w:val="center"/>
          </w:tcPr>
          <w:p w14:paraId="0F2881CD" w14:textId="097FCDB4" w:rsidR="004E0D70" w:rsidRPr="004E0D70" w:rsidRDefault="004E0D70" w:rsidP="004E0D70">
            <w:pPr>
              <w:rPr>
                <w:rFonts w:ascii="Aptos" w:hAnsi="Aptos"/>
                <w:lang w:val="vi-VN"/>
              </w:rPr>
            </w:pPr>
            <w:r w:rsidRPr="004E0D70">
              <w:rPr>
                <w:rFonts w:ascii="Aptos" w:eastAsia="Times New Roman" w:hAnsi="Aptos" w:cs="Times New Roman"/>
                <w:kern w:val="0"/>
                <w14:ligatures w14:val="none"/>
              </w:rPr>
              <w:t>Nghẽn mạng</w:t>
            </w:r>
          </w:p>
        </w:tc>
        <w:tc>
          <w:tcPr>
            <w:tcW w:w="2990" w:type="dxa"/>
            <w:vAlign w:val="center"/>
          </w:tcPr>
          <w:p w14:paraId="20083EFC" w14:textId="07033501" w:rsidR="004E0D70" w:rsidRPr="004E0D70" w:rsidRDefault="004E0D70" w:rsidP="004E0D70">
            <w:pPr>
              <w:rPr>
                <w:rFonts w:ascii="Aptos" w:hAnsi="Aptos"/>
                <w:lang w:val="vi-VN"/>
              </w:rPr>
            </w:pPr>
            <w:r w:rsidRPr="004E0D70">
              <w:rPr>
                <w:rFonts w:ascii="Aptos" w:eastAsia="Times New Roman" w:hAnsi="Aptos" w:cs="Times New Roman"/>
                <w:kern w:val="0"/>
                <w:lang w:val="vi-VN"/>
                <w14:ligatures w14:val="none"/>
              </w:rPr>
              <w:t>Độ tin cậy thấp hơn</w:t>
            </w:r>
          </w:p>
        </w:tc>
        <w:tc>
          <w:tcPr>
            <w:tcW w:w="3015" w:type="dxa"/>
            <w:vAlign w:val="center"/>
          </w:tcPr>
          <w:p w14:paraId="77651525" w14:textId="21152D33" w:rsidR="004E0D70" w:rsidRPr="004E0D70" w:rsidRDefault="004E0D70" w:rsidP="004E0D70">
            <w:pPr>
              <w:rPr>
                <w:rFonts w:ascii="Aptos" w:hAnsi="Aptos"/>
                <w:lang w:val="vi-VN"/>
              </w:rPr>
            </w:pPr>
            <w:r w:rsidRPr="004E0D70">
              <w:rPr>
                <w:rFonts w:ascii="Aptos" w:eastAsia="Times New Roman" w:hAnsi="Aptos" w:cs="Times New Roman"/>
                <w:kern w:val="0"/>
                <w14:ligatures w14:val="none"/>
              </w:rPr>
              <w:t>Độ tin cậy cao hơn</w:t>
            </w:r>
          </w:p>
        </w:tc>
      </w:tr>
      <w:tr w:rsidR="004E0D70" w:rsidRPr="004E0D70" w14:paraId="0EA52D54" w14:textId="77777777" w:rsidTr="004E0D70">
        <w:tc>
          <w:tcPr>
            <w:tcW w:w="2985" w:type="dxa"/>
            <w:vAlign w:val="center"/>
          </w:tcPr>
          <w:p w14:paraId="3CF7D561" w14:textId="4473BC18" w:rsidR="004E0D70" w:rsidRPr="004E0D70" w:rsidRDefault="004E0D70" w:rsidP="004E0D70">
            <w:pPr>
              <w:rPr>
                <w:rFonts w:ascii="Aptos" w:hAnsi="Aptos"/>
                <w:lang w:val="vi-VN"/>
              </w:rPr>
            </w:pPr>
            <w:r w:rsidRPr="004E0D70">
              <w:rPr>
                <w:rFonts w:ascii="Aptos" w:eastAsia="Times New Roman" w:hAnsi="Aptos" w:cs="Times New Roman"/>
                <w:kern w:val="0"/>
                <w14:ligatures w14:val="none"/>
              </w:rPr>
              <w:t>Triển khai</w:t>
            </w:r>
          </w:p>
        </w:tc>
        <w:tc>
          <w:tcPr>
            <w:tcW w:w="2990" w:type="dxa"/>
            <w:vAlign w:val="center"/>
          </w:tcPr>
          <w:p w14:paraId="0AC1BE16" w14:textId="2703B1E6" w:rsidR="004E0D70" w:rsidRPr="004E0D70" w:rsidRDefault="004E0D70" w:rsidP="004E0D70">
            <w:pPr>
              <w:rPr>
                <w:rFonts w:ascii="Aptos" w:hAnsi="Aptos"/>
                <w:lang w:val="vi-VN"/>
              </w:rPr>
            </w:pPr>
            <w:r w:rsidRPr="004E0D70">
              <w:rPr>
                <w:rFonts w:ascii="Aptos" w:eastAsia="Times New Roman" w:hAnsi="Aptos" w:cs="Times New Roman"/>
                <w:kern w:val="0"/>
                <w14:ligatures w14:val="none"/>
              </w:rPr>
              <w:t>Đơn giản</w:t>
            </w:r>
          </w:p>
        </w:tc>
        <w:tc>
          <w:tcPr>
            <w:tcW w:w="3015" w:type="dxa"/>
            <w:vAlign w:val="center"/>
          </w:tcPr>
          <w:p w14:paraId="45A60F49" w14:textId="53CC7B7A" w:rsidR="004E0D70" w:rsidRPr="004E0D70" w:rsidRDefault="004E0D70" w:rsidP="004E0D70">
            <w:pPr>
              <w:rPr>
                <w:rFonts w:ascii="Aptos" w:hAnsi="Aptos"/>
                <w:lang w:val="vi-VN"/>
              </w:rPr>
            </w:pPr>
            <w:r w:rsidRPr="004E0D70">
              <w:rPr>
                <w:rFonts w:ascii="Aptos" w:eastAsia="Times New Roman" w:hAnsi="Aptos" w:cs="Times New Roman"/>
                <w:kern w:val="0"/>
                <w14:ligatures w14:val="none"/>
              </w:rPr>
              <w:t>Phức tạp hơn</w:t>
            </w:r>
          </w:p>
        </w:tc>
      </w:tr>
      <w:tr w:rsidR="004E0D70" w:rsidRPr="004E0D70" w14:paraId="7FFA41B6" w14:textId="77777777" w:rsidTr="004E0D70">
        <w:tc>
          <w:tcPr>
            <w:tcW w:w="2985" w:type="dxa"/>
            <w:vAlign w:val="center"/>
          </w:tcPr>
          <w:p w14:paraId="71C89FC4" w14:textId="66A9D6A1" w:rsidR="004E0D70" w:rsidRPr="004E0D70" w:rsidRDefault="004E0D70" w:rsidP="004E0D70">
            <w:pPr>
              <w:rPr>
                <w:rFonts w:ascii="Aptos" w:hAnsi="Aptos"/>
                <w:lang w:val="vi-VN"/>
              </w:rPr>
            </w:pPr>
            <w:r w:rsidRPr="004E0D70">
              <w:rPr>
                <w:rFonts w:ascii="Aptos" w:eastAsia="Times New Roman" w:hAnsi="Aptos" w:cs="Times New Roman"/>
                <w:kern w:val="0"/>
                <w14:ligatures w14:val="none"/>
              </w:rPr>
              <w:t>Sai lệch tài chính</w:t>
            </w:r>
          </w:p>
        </w:tc>
        <w:tc>
          <w:tcPr>
            <w:tcW w:w="2990" w:type="dxa"/>
            <w:vAlign w:val="center"/>
          </w:tcPr>
          <w:p w14:paraId="38A62182" w14:textId="1C9BBA21" w:rsidR="004E0D70" w:rsidRPr="004E0D70" w:rsidRDefault="004E0D70" w:rsidP="004E0D70">
            <w:pPr>
              <w:rPr>
                <w:rFonts w:ascii="Aptos" w:hAnsi="Aptos"/>
                <w:lang w:val="vi-VN"/>
              </w:rPr>
            </w:pPr>
            <w:r w:rsidRPr="004E0D70">
              <w:rPr>
                <w:rFonts w:ascii="Aptos" w:eastAsia="Times New Roman" w:hAnsi="Aptos" w:cs="Times New Roman"/>
                <w:kern w:val="0"/>
                <w14:ligatures w14:val="none"/>
              </w:rPr>
              <w:t>Rủi ro cao hơn</w:t>
            </w:r>
          </w:p>
        </w:tc>
        <w:tc>
          <w:tcPr>
            <w:tcW w:w="3015" w:type="dxa"/>
            <w:vAlign w:val="center"/>
          </w:tcPr>
          <w:p w14:paraId="58604314" w14:textId="1D403D16" w:rsidR="004E0D70" w:rsidRPr="004E0D70" w:rsidRDefault="004E0D70" w:rsidP="004E0D70">
            <w:pPr>
              <w:rPr>
                <w:rFonts w:ascii="Aptos" w:hAnsi="Aptos"/>
                <w:lang w:val="vi-VN"/>
              </w:rPr>
            </w:pPr>
            <w:r w:rsidRPr="004E0D70">
              <w:rPr>
                <w:rFonts w:ascii="Aptos" w:eastAsia="Times New Roman" w:hAnsi="Aptos" w:cs="Times New Roman"/>
                <w:kern w:val="0"/>
                <w14:ligatures w14:val="none"/>
              </w:rPr>
              <w:t>Rủi ro thấp hơn</w:t>
            </w:r>
          </w:p>
        </w:tc>
      </w:tr>
    </w:tbl>
    <w:p w14:paraId="7C7058B5" w14:textId="479DB3D2" w:rsidR="004E0D70" w:rsidRPr="004E0D70" w:rsidRDefault="004E0D70" w:rsidP="004E0D70">
      <w:pPr>
        <w:pStyle w:val="ListParagraph"/>
        <w:numPr>
          <w:ilvl w:val="0"/>
          <w:numId w:val="1"/>
        </w:numPr>
        <w:spacing w:before="100" w:beforeAutospacing="1" w:after="100" w:afterAutospacing="1" w:line="240" w:lineRule="auto"/>
        <w:rPr>
          <w:rFonts w:ascii="Aptos" w:eastAsia="Times New Roman" w:hAnsi="Aptos" w:cs="Times New Roman"/>
          <w:kern w:val="0"/>
          <w:lang w:val="vi-VN"/>
          <w14:ligatures w14:val="none"/>
        </w:rPr>
      </w:pPr>
      <w:r w:rsidRPr="004E0D70">
        <w:rPr>
          <w:rFonts w:ascii="Aptos" w:eastAsia="Times New Roman" w:hAnsi="Aptos" w:cs="Times New Roman"/>
          <w:b/>
          <w:bCs/>
          <w:kern w:val="0"/>
          <w:lang w:val="vi-VN"/>
          <w14:ligatures w14:val="none"/>
        </w:rPr>
        <w:t>Lựa chọn:</w:t>
      </w:r>
      <w:r w:rsidRPr="004E0D70">
        <w:rPr>
          <w:rFonts w:ascii="Aptos" w:eastAsia="Times New Roman" w:hAnsi="Aptos" w:cs="Times New Roman"/>
          <w:kern w:val="0"/>
          <w:lang w:val="vi-VN"/>
          <w14:ligatures w14:val="none"/>
        </w:rPr>
        <w:t xml:space="preserve"> Giải pháp 2 vì phù hợp với hơn </w:t>
      </w:r>
      <w:r w:rsidRPr="004E0D70">
        <w:rPr>
          <w:rFonts w:ascii="Aptos" w:eastAsia="Times New Roman" w:hAnsi="Aptos" w:cs="Times New Roman"/>
          <w:b/>
          <w:bCs/>
          <w:kern w:val="0"/>
          <w:lang w:val="vi-VN"/>
          <w14:ligatures w14:val="none"/>
        </w:rPr>
        <w:t>200.000 giao dịch/ngày</w:t>
      </w:r>
      <w:r w:rsidRPr="004E0D70">
        <w:rPr>
          <w:rFonts w:ascii="Aptos" w:eastAsia="Times New Roman" w:hAnsi="Aptos" w:cs="Times New Roman"/>
          <w:kern w:val="0"/>
          <w:lang w:val="vi-VN"/>
          <w14:ligatures w14:val="none"/>
        </w:rPr>
        <w:t>, chịu lỗi mạng tốt và an toàn hơn cho dữ liệu tài chính.</w:t>
      </w:r>
    </w:p>
    <w:p w14:paraId="7F554B10" w14:textId="77777777" w:rsidR="004E0D70" w:rsidRDefault="004E0D70" w:rsidP="004E0D70">
      <w:pPr>
        <w:rPr>
          <w:lang w:val="vi-VN"/>
        </w:rPr>
      </w:pPr>
      <w:r w:rsidRPr="00BA69AB">
        <w:rPr>
          <w:b/>
          <w:bCs/>
          <w:lang w:val="vi-VN"/>
        </w:rPr>
        <w:t>Phần 2:</w:t>
      </w:r>
      <w:r w:rsidRPr="00BA69AB">
        <w:rPr>
          <w:lang w:val="vi-VN"/>
        </w:rPr>
        <w:t xml:space="preserve"> Dựa trên sơ đồ tuần tự nháp đã cho sẵn ở trên, dùng </w:t>
      </w:r>
      <w:r w:rsidRPr="00BA69AB">
        <w:rPr>
          <w:b/>
          <w:bCs/>
          <w:lang w:val="vi-VN"/>
        </w:rPr>
        <w:t>draw.io</w:t>
      </w:r>
      <w:r w:rsidRPr="00BA69AB">
        <w:rPr>
          <w:lang w:val="vi-VN"/>
        </w:rPr>
        <w:t xml:space="preserve"> vẽ lại và bổ sung 2 bước còn thiếu: (1) xác thực chữ ký HMAC trước khi Billing Service gạch nợ, (2) cập nhật trạng thái đơn hàng sau khi gạch nợ thành công.</w:t>
      </w:r>
    </w:p>
    <w:p w14:paraId="3B4F5AF5" w14:textId="2FA4584D" w:rsidR="004E0D70" w:rsidRPr="004E0D70" w:rsidRDefault="00C07405" w:rsidP="004E0D70">
      <w:pPr>
        <w:rPr>
          <w:lang w:val="vi-VN"/>
        </w:rPr>
      </w:pPr>
      <w:r w:rsidRPr="00C07405">
        <w:rPr>
          <w:lang w:val="vi-VN"/>
        </w:rPr>
        <w:lastRenderedPageBreak/>
        <w:drawing>
          <wp:inline distT="0" distB="0" distL="0" distR="0" wp14:anchorId="4EDC548B" wp14:editId="7B6A5AA4">
            <wp:extent cx="5943600" cy="3554095"/>
            <wp:effectExtent l="0" t="0" r="0" b="8255"/>
            <wp:docPr id="42837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79040" name=""/>
                    <pic:cNvPicPr/>
                  </pic:nvPicPr>
                  <pic:blipFill>
                    <a:blip r:embed="rId5"/>
                    <a:stretch>
                      <a:fillRect/>
                    </a:stretch>
                  </pic:blipFill>
                  <pic:spPr>
                    <a:xfrm>
                      <a:off x="0" y="0"/>
                      <a:ext cx="5943600" cy="3554095"/>
                    </a:xfrm>
                    <a:prstGeom prst="rect">
                      <a:avLst/>
                    </a:prstGeom>
                  </pic:spPr>
                </pic:pic>
              </a:graphicData>
            </a:graphic>
          </wp:inline>
        </w:drawing>
      </w:r>
    </w:p>
    <w:p w14:paraId="062DA1B9" w14:textId="77777777" w:rsidR="004E0D70" w:rsidRDefault="004E0D70" w:rsidP="004E0D70">
      <w:pPr>
        <w:rPr>
          <w:lang w:val="vi-VN"/>
        </w:rPr>
      </w:pPr>
      <w:r w:rsidRPr="004E0D70">
        <w:rPr>
          <w:b/>
          <w:bCs/>
        </w:rPr>
        <w:t>Phần 3 (ngắn gọn):</w:t>
      </w:r>
      <w:r w:rsidRPr="004E0D70">
        <w:t xml:space="preserve"> Liệt kê tên 4 bảng dữ liệu cần thiết (Shipment, PaymentTransaction, CODSettlement, AuditLog, không cần vẽ ERD) và mô tả ngắn cơ chế bảo mật (API Key, HMAC Checksum).</w:t>
      </w:r>
    </w:p>
    <w:p w14:paraId="2F213239" w14:textId="2CD9511B" w:rsidR="004E0D70" w:rsidRDefault="00BA69AB" w:rsidP="00BA69AB">
      <w:pPr>
        <w:pStyle w:val="ListParagraph"/>
        <w:numPr>
          <w:ilvl w:val="0"/>
          <w:numId w:val="1"/>
        </w:numPr>
        <w:rPr>
          <w:lang w:val="vi-VN"/>
        </w:rPr>
      </w:pPr>
      <w:r>
        <w:rPr>
          <w:lang w:val="vi-VN"/>
        </w:rPr>
        <w:t>4 bảng dữ liệu cần thiết :</w:t>
      </w:r>
    </w:p>
    <w:p w14:paraId="616416A3" w14:textId="0EAB7A5E" w:rsidR="00BA69AB" w:rsidRPr="00BA69AB" w:rsidRDefault="00BA69AB" w:rsidP="00BA69AB">
      <w:pPr>
        <w:pStyle w:val="ListParagraph"/>
        <w:numPr>
          <w:ilvl w:val="1"/>
          <w:numId w:val="1"/>
        </w:numPr>
      </w:pPr>
      <w:r w:rsidRPr="00BA69AB">
        <w:rPr>
          <w:b/>
          <w:bCs/>
        </w:rPr>
        <w:t>Shipment:</w:t>
      </w:r>
      <w:r w:rsidRPr="00BA69AB">
        <w:t xml:space="preserve"> lưu thông tin và trạng thái vận đơn</w:t>
      </w:r>
    </w:p>
    <w:p w14:paraId="57C5468D" w14:textId="63821B66" w:rsidR="00BA69AB" w:rsidRPr="00BA69AB" w:rsidRDefault="00BA69AB" w:rsidP="00BA69AB">
      <w:pPr>
        <w:pStyle w:val="ListParagraph"/>
        <w:numPr>
          <w:ilvl w:val="1"/>
          <w:numId w:val="1"/>
        </w:numPr>
      </w:pPr>
      <w:r w:rsidRPr="00BA69AB">
        <w:rPr>
          <w:b/>
          <w:bCs/>
        </w:rPr>
        <w:t>PaymentTransaction:</w:t>
      </w:r>
      <w:r w:rsidRPr="00BA69AB">
        <w:t xml:space="preserve"> lưu giao dịch thanh toán</w:t>
      </w:r>
    </w:p>
    <w:p w14:paraId="4630792C" w14:textId="1161FB30" w:rsidR="00BA69AB" w:rsidRPr="00BA69AB" w:rsidRDefault="00BA69AB" w:rsidP="00BA69AB">
      <w:pPr>
        <w:pStyle w:val="ListParagraph"/>
        <w:numPr>
          <w:ilvl w:val="1"/>
          <w:numId w:val="1"/>
        </w:numPr>
      </w:pPr>
      <w:r w:rsidRPr="00BA69AB">
        <w:rPr>
          <w:b/>
          <w:bCs/>
        </w:rPr>
        <w:t>CODSettlement:</w:t>
      </w:r>
      <w:r w:rsidRPr="00BA69AB">
        <w:t xml:space="preserve"> lưu thông tin đối soát COD</w:t>
      </w:r>
    </w:p>
    <w:p w14:paraId="05D1BD38" w14:textId="76EE1FD3" w:rsidR="00BA69AB" w:rsidRDefault="00BA69AB" w:rsidP="00BA69AB">
      <w:pPr>
        <w:pStyle w:val="ListParagraph"/>
        <w:numPr>
          <w:ilvl w:val="1"/>
          <w:numId w:val="1"/>
        </w:numPr>
        <w:rPr>
          <w:lang w:val="vi-VN"/>
        </w:rPr>
      </w:pPr>
      <w:r w:rsidRPr="00BA69AB">
        <w:rPr>
          <w:b/>
          <w:bCs/>
        </w:rPr>
        <w:t>AuditLog:</w:t>
      </w:r>
      <w:r w:rsidRPr="00BA69AB">
        <w:t xml:space="preserve"> lưu lịch sử thay đổi và xử lý giao dịch</w:t>
      </w:r>
    </w:p>
    <w:p w14:paraId="66C7B64A" w14:textId="140C8025" w:rsidR="00BA69AB" w:rsidRDefault="00BA69AB" w:rsidP="00BA69AB">
      <w:pPr>
        <w:pStyle w:val="ListParagraph"/>
        <w:numPr>
          <w:ilvl w:val="0"/>
          <w:numId w:val="1"/>
        </w:numPr>
        <w:rPr>
          <w:lang w:val="vi-VN"/>
        </w:rPr>
      </w:pPr>
      <w:r>
        <w:rPr>
          <w:lang w:val="vi-VN"/>
        </w:rPr>
        <w:t>Cơ chế bảo mật :</w:t>
      </w:r>
    </w:p>
    <w:p w14:paraId="2190E9CD" w14:textId="29B96BC9" w:rsidR="00BA69AB" w:rsidRPr="00BA69AB" w:rsidRDefault="00BA69AB" w:rsidP="00BA69AB">
      <w:pPr>
        <w:pStyle w:val="ListParagraph"/>
        <w:numPr>
          <w:ilvl w:val="1"/>
          <w:numId w:val="1"/>
        </w:numPr>
        <w:rPr>
          <w:lang w:val="vi-VN"/>
        </w:rPr>
      </w:pPr>
      <w:r>
        <w:rPr>
          <w:lang w:val="vi-VN"/>
        </w:rPr>
        <w:t>Sử dụng API Key để xác thực giữa các hệ thống và HMAC-SHA256 để kiểm tra Webhook có thực sự đến từ Cổng thanh toán hay không. Chỉ cập nhật PAID khi chữ ký hợp lệ</w:t>
      </w:r>
    </w:p>
    <w:sectPr w:rsidR="00BA69AB" w:rsidRPr="00BA69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772EF"/>
    <w:multiLevelType w:val="hybridMultilevel"/>
    <w:tmpl w:val="618CB386"/>
    <w:lvl w:ilvl="0" w:tplc="0C66EED0">
      <w:numFmt w:val="bullet"/>
      <w:lvlText w:val="-"/>
      <w:lvlJc w:val="left"/>
      <w:pPr>
        <w:ind w:left="720" w:hanging="360"/>
      </w:pPr>
      <w:rPr>
        <w:rFonts w:ascii="Aptos" w:eastAsiaTheme="minorEastAsia" w:hAnsi="Aptos" w:cstheme="minorBid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8382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D70"/>
    <w:rsid w:val="004E0D70"/>
    <w:rsid w:val="00BA69AB"/>
    <w:rsid w:val="00C07405"/>
    <w:rsid w:val="00DE08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9194B"/>
  <w15:chartTrackingRefBased/>
  <w15:docId w15:val="{46814E56-82BD-4EB8-A288-48511B63C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0D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D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D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D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D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0D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D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D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D70"/>
    <w:rPr>
      <w:rFonts w:eastAsiaTheme="majorEastAsia" w:cstheme="majorBidi"/>
      <w:color w:val="272727" w:themeColor="text1" w:themeTint="D8"/>
    </w:rPr>
  </w:style>
  <w:style w:type="paragraph" w:styleId="Title">
    <w:name w:val="Title"/>
    <w:basedOn w:val="Normal"/>
    <w:next w:val="Normal"/>
    <w:link w:val="TitleChar"/>
    <w:uiPriority w:val="10"/>
    <w:qFormat/>
    <w:rsid w:val="004E0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D70"/>
    <w:pPr>
      <w:spacing w:before="160"/>
      <w:jc w:val="center"/>
    </w:pPr>
    <w:rPr>
      <w:i/>
      <w:iCs/>
      <w:color w:val="404040" w:themeColor="text1" w:themeTint="BF"/>
    </w:rPr>
  </w:style>
  <w:style w:type="character" w:customStyle="1" w:styleId="QuoteChar">
    <w:name w:val="Quote Char"/>
    <w:basedOn w:val="DefaultParagraphFont"/>
    <w:link w:val="Quote"/>
    <w:uiPriority w:val="29"/>
    <w:rsid w:val="004E0D70"/>
    <w:rPr>
      <w:i/>
      <w:iCs/>
      <w:color w:val="404040" w:themeColor="text1" w:themeTint="BF"/>
    </w:rPr>
  </w:style>
  <w:style w:type="paragraph" w:styleId="ListParagraph">
    <w:name w:val="List Paragraph"/>
    <w:basedOn w:val="Normal"/>
    <w:uiPriority w:val="34"/>
    <w:qFormat/>
    <w:rsid w:val="004E0D70"/>
    <w:pPr>
      <w:ind w:left="720"/>
      <w:contextualSpacing/>
    </w:pPr>
  </w:style>
  <w:style w:type="character" w:styleId="IntenseEmphasis">
    <w:name w:val="Intense Emphasis"/>
    <w:basedOn w:val="DefaultParagraphFont"/>
    <w:uiPriority w:val="21"/>
    <w:qFormat/>
    <w:rsid w:val="004E0D70"/>
    <w:rPr>
      <w:i/>
      <w:iCs/>
      <w:color w:val="0F4761" w:themeColor="accent1" w:themeShade="BF"/>
    </w:rPr>
  </w:style>
  <w:style w:type="paragraph" w:styleId="IntenseQuote">
    <w:name w:val="Intense Quote"/>
    <w:basedOn w:val="Normal"/>
    <w:next w:val="Normal"/>
    <w:link w:val="IntenseQuoteChar"/>
    <w:uiPriority w:val="30"/>
    <w:qFormat/>
    <w:rsid w:val="004E0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D70"/>
    <w:rPr>
      <w:i/>
      <w:iCs/>
      <w:color w:val="0F4761" w:themeColor="accent1" w:themeShade="BF"/>
    </w:rPr>
  </w:style>
  <w:style w:type="character" w:styleId="IntenseReference">
    <w:name w:val="Intense Reference"/>
    <w:basedOn w:val="DefaultParagraphFont"/>
    <w:uiPriority w:val="32"/>
    <w:qFormat/>
    <w:rsid w:val="004E0D70"/>
    <w:rPr>
      <w:b/>
      <w:bCs/>
      <w:smallCaps/>
      <w:color w:val="0F4761" w:themeColor="accent1" w:themeShade="BF"/>
      <w:spacing w:val="5"/>
    </w:rPr>
  </w:style>
  <w:style w:type="paragraph" w:styleId="NormalWeb">
    <w:name w:val="Normal (Web)"/>
    <w:basedOn w:val="Normal"/>
    <w:uiPriority w:val="99"/>
    <w:semiHidden/>
    <w:unhideWhenUsed/>
    <w:rsid w:val="004E0D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E0D70"/>
    <w:rPr>
      <w:b/>
      <w:bCs/>
    </w:rPr>
  </w:style>
  <w:style w:type="table" w:styleId="TableGrid">
    <w:name w:val="Table Grid"/>
    <w:basedOn w:val="TableNormal"/>
    <w:uiPriority w:val="39"/>
    <w:rsid w:val="004E0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A69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272</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bùi</dc:creator>
  <cp:keywords/>
  <dc:description/>
  <cp:lastModifiedBy>an bùi</cp:lastModifiedBy>
  <cp:revision>1</cp:revision>
  <dcterms:created xsi:type="dcterms:W3CDTF">2026-10-01T06:27:00Z</dcterms:created>
  <dcterms:modified xsi:type="dcterms:W3CDTF">2026-10-01T07:10:00Z</dcterms:modified>
</cp:coreProperties>
</file>