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Các công thức trong ảnh là các đẳng thức lượng giác cơ bản: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</w:p>
    <w:p>
      <w:pPr>
        <w:pStyle w:val="Compact"/>
        <w:numPr>
          <w:ilvl w:val="0"/>
          <w:numId w:val="1001"/>
        </w:numPr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≠</m:t>
        </m:r>
        <m:r>
          <m:t>k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</w:p>
    <w:p>
      <w:pPr>
        <w:pStyle w:val="Compact"/>
        <w:numPr>
          <w:ilvl w:val="0"/>
          <w:numId w:val="1001"/>
        </w:numPr>
      </w:pP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</w:p>
    <w:p>
      <w:pPr>
        <w:pStyle w:val="Compact"/>
        <w:numPr>
          <w:ilvl w:val="0"/>
          <w:numId w:val="1001"/>
        </w:numPr>
      </w:pP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</w:p>
    <w:p>
      <w:pPr>
        <w:pStyle w:val="FirstParagraph"/>
      </w:pPr>
      <w:r>
        <w:t xml:space="preserve">Nếu bạn muốn, tôi có thể lập bảng tóm tắt ý nghĩa và điều kiện xác định của từng công thức này.</w:t>
      </w:r>
    </w:p>
    <w:sectPr w:rsidR="00BD4EC2" w:rsidRPr="00BD4EC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