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342251" w14:textId="77947ED2" w:rsidR="00D82A66" w:rsidRPr="00914B9C" w:rsidRDefault="001B346B" w:rsidP="001B346B">
      <w:pPr>
        <w:spacing w:before="160"/>
        <w:jc w:val="center"/>
        <w:rPr>
          <w:b/>
          <w:bCs/>
          <w:sz w:val="32"/>
          <w:szCs w:val="32"/>
          <w:lang w:val="vi-VN"/>
        </w:rPr>
      </w:pPr>
      <w:r w:rsidRPr="00914B9C">
        <w:rPr>
          <w:b/>
          <w:bCs/>
          <w:sz w:val="32"/>
          <w:szCs w:val="32"/>
          <w:lang w:val="vi-VN"/>
        </w:rPr>
        <w:t>MEETING NOTES</w:t>
      </w:r>
    </w:p>
    <w:p w14:paraId="38155A7D" w14:textId="77777777" w:rsidR="00D82A66" w:rsidRDefault="00000000">
      <w:pPr>
        <w:shd w:val="clear" w:color="auto" w:fill="0D6E6E"/>
        <w:spacing w:before="240" w:after="120"/>
        <w:ind w:left="160"/>
      </w:pPr>
      <w:r>
        <w:rPr>
          <w:b/>
          <w:bCs/>
          <w:color w:val="FFFFFF"/>
          <w:sz w:val="22"/>
          <w:szCs w:val="22"/>
        </w:rPr>
        <w:t>Item 1 — Materiality Threshold (CONFIRMED)</w:t>
      </w:r>
    </w:p>
    <w:p w14:paraId="45A288A6" w14:textId="77777777" w:rsidR="00D82A66" w:rsidRPr="001B346B" w:rsidRDefault="00D82A66">
      <w:pPr>
        <w:spacing w:before="80"/>
        <w:rPr>
          <w:lang w:val="vi-VN"/>
        </w:rPr>
      </w:pPr>
    </w:p>
    <w:p w14:paraId="07611616" w14:textId="77777777" w:rsidR="00D82A66" w:rsidRDefault="00000000">
      <w:pPr>
        <w:spacing w:before="80" w:after="60"/>
        <w:jc w:val="both"/>
      </w:pPr>
      <w:r>
        <w:rPr>
          <w:b/>
          <w:bCs/>
          <w:color w:val="1A2E52"/>
        </w:rPr>
        <w:t xml:space="preserve">What was confirmed: </w:t>
      </w:r>
      <w:r>
        <w:rPr>
          <w:color w:val="374151"/>
        </w:rPr>
        <w:t>The 2% materiality threshold applies to all KPIs across the full P&amp;L — there is no exception for specific line items or summary metrics only.</w:t>
      </w:r>
    </w:p>
    <w:p w14:paraId="3298EBF0" w14:textId="77777777" w:rsidR="00D82A66" w:rsidRDefault="00D82A66">
      <w:pPr>
        <w:spacing w:before="60"/>
      </w:pPr>
    </w:p>
    <w:p w14:paraId="2FA01487" w14:textId="77777777" w:rsidR="00D82A66" w:rsidRDefault="00000000">
      <w:pPr>
        <w:spacing w:before="80" w:after="60"/>
        <w:jc w:val="both"/>
      </w:pPr>
      <w:r>
        <w:rPr>
          <w:b/>
          <w:bCs/>
          <w:color w:val="1A2E52"/>
        </w:rPr>
        <w:t xml:space="preserve">How the agent should handle this: </w:t>
      </w:r>
      <w:r>
        <w:rPr>
          <w:color w:val="374151"/>
        </w:rPr>
        <w:t>The agent will flag all variances that exceed 2% across every line item. In addition to the full flagged list, the agent will highlight the top 5 to 10 variances with the largest absolute deviation so the finance team knows which items require the most attention first.</w:t>
      </w:r>
    </w:p>
    <w:p w14:paraId="2B405DAE" w14:textId="77777777" w:rsidR="00D82A66" w:rsidRDefault="00D82A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2A66" w14:paraId="213994FE" w14:textId="77777777">
        <w:tc>
          <w:tcPr>
            <w:tcW w:w="3000" w:type="dxa"/>
            <w:tcBorders>
              <w:top w:val="single" w:sz="1" w:space="0" w:color="D1D5DB"/>
              <w:left w:val="single" w:sz="1" w:space="0" w:color="D1D5DB"/>
              <w:bottom w:val="single" w:sz="1" w:space="0" w:color="D1D5DB"/>
              <w:right w:val="single" w:sz="1" w:space="0" w:color="D1D5DB"/>
            </w:tcBorders>
            <w:shd w:val="clear" w:color="auto" w:fill="1A2E52"/>
            <w:tcMar>
              <w:top w:w="80" w:type="dxa"/>
              <w:left w:w="120" w:type="dxa"/>
              <w:bottom w:w="80" w:type="dxa"/>
              <w:right w:w="120" w:type="dxa"/>
            </w:tcMar>
            <w:vAlign w:val="center"/>
          </w:tcPr>
          <w:p w14:paraId="5F569F7F" w14:textId="77777777" w:rsidR="00D82A66" w:rsidRDefault="00000000">
            <w:pPr>
              <w:jc w:val="center"/>
            </w:pPr>
            <w:r>
              <w:rPr>
                <w:b/>
                <w:bCs/>
                <w:color w:val="FFFFFF"/>
                <w:sz w:val="18"/>
                <w:szCs w:val="18"/>
              </w:rPr>
              <w:t>Decision</w:t>
            </w:r>
          </w:p>
        </w:tc>
        <w:tc>
          <w:tcPr>
            <w:tcW w:w="6360" w:type="dxa"/>
            <w:tcBorders>
              <w:top w:val="single" w:sz="1" w:space="0" w:color="D1D5DB"/>
              <w:left w:val="single" w:sz="1" w:space="0" w:color="D1D5DB"/>
              <w:bottom w:val="single" w:sz="1" w:space="0" w:color="D1D5DB"/>
              <w:right w:val="single" w:sz="1" w:space="0" w:color="D1D5DB"/>
            </w:tcBorders>
            <w:shd w:val="clear" w:color="auto" w:fill="1A2E52"/>
            <w:tcMar>
              <w:top w:w="80" w:type="dxa"/>
              <w:left w:w="120" w:type="dxa"/>
              <w:bottom w:w="80" w:type="dxa"/>
              <w:right w:w="120" w:type="dxa"/>
            </w:tcMar>
            <w:vAlign w:val="center"/>
          </w:tcPr>
          <w:p w14:paraId="1931A953" w14:textId="77777777" w:rsidR="00D82A66" w:rsidRDefault="00000000">
            <w:pPr>
              <w:jc w:val="center"/>
            </w:pPr>
            <w:r>
              <w:rPr>
                <w:b/>
                <w:bCs/>
                <w:color w:val="FFFFFF"/>
                <w:sz w:val="18"/>
                <w:szCs w:val="18"/>
              </w:rPr>
              <w:t>Detail</w:t>
            </w:r>
          </w:p>
        </w:tc>
      </w:tr>
      <w:tr w:rsidR="00D82A66" w14:paraId="37ED6034" w14:textId="77777777">
        <w:tc>
          <w:tcPr>
            <w:tcW w:w="3000" w:type="dxa"/>
            <w:tcBorders>
              <w:top w:val="single" w:sz="1" w:space="0" w:color="D1D5DB"/>
              <w:left w:val="single" w:sz="1" w:space="0" w:color="D1D5DB"/>
              <w:bottom w:val="single" w:sz="1" w:space="0" w:color="D1D5DB"/>
              <w:right w:val="single" w:sz="1" w:space="0" w:color="D1D5DB"/>
            </w:tcBorders>
            <w:shd w:val="clear" w:color="auto" w:fill="E8F4F3"/>
            <w:tcMar>
              <w:top w:w="80" w:type="dxa"/>
              <w:left w:w="120" w:type="dxa"/>
              <w:bottom w:w="80" w:type="dxa"/>
              <w:right w:w="120" w:type="dxa"/>
            </w:tcMar>
          </w:tcPr>
          <w:p w14:paraId="3915A4D2" w14:textId="77777777" w:rsidR="00D82A66" w:rsidRDefault="00000000">
            <w:r>
              <w:rPr>
                <w:b/>
                <w:bCs/>
                <w:color w:val="1A2E52"/>
                <w:sz w:val="18"/>
                <w:szCs w:val="18"/>
              </w:rPr>
              <w:t>Threshold</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60F03F" w14:textId="77777777" w:rsidR="00D82A66" w:rsidRDefault="00000000">
            <w:r>
              <w:rPr>
                <w:color w:val="374151"/>
                <w:sz w:val="18"/>
                <w:szCs w:val="18"/>
              </w:rPr>
              <w:t>2% applies to all KPIs and all P&amp;L line items</w:t>
            </w:r>
          </w:p>
        </w:tc>
      </w:tr>
      <w:tr w:rsidR="00D82A66" w14:paraId="45790974"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28907106" w14:textId="77777777" w:rsidR="00D82A66" w:rsidRDefault="00000000">
            <w:r>
              <w:rPr>
                <w:b/>
                <w:bCs/>
                <w:color w:val="1A2E52"/>
                <w:sz w:val="18"/>
                <w:szCs w:val="18"/>
              </w:rPr>
              <w:t>Output format</w:t>
            </w:r>
          </w:p>
        </w:tc>
        <w:tc>
          <w:tcPr>
            <w:tcW w:w="63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84CCD9E" w14:textId="77777777" w:rsidR="00D82A66" w:rsidRDefault="00000000">
            <w:r>
              <w:rPr>
                <w:color w:val="374151"/>
                <w:sz w:val="18"/>
                <w:szCs w:val="18"/>
              </w:rPr>
              <w:t>Full list of all variances above 2%, plus a highlighted top 5–10 by absolute magnitude</w:t>
            </w:r>
          </w:p>
        </w:tc>
      </w:tr>
      <w:tr w:rsidR="00D82A66" w14:paraId="5DAB6DBB" w14:textId="77777777">
        <w:tc>
          <w:tcPr>
            <w:tcW w:w="3000" w:type="dxa"/>
            <w:tcBorders>
              <w:top w:val="single" w:sz="1" w:space="0" w:color="D1D5DB"/>
              <w:left w:val="single" w:sz="1" w:space="0" w:color="D1D5DB"/>
              <w:bottom w:val="single" w:sz="1" w:space="0" w:color="D1D5DB"/>
              <w:right w:val="single" w:sz="1" w:space="0" w:color="D1D5DB"/>
            </w:tcBorders>
            <w:shd w:val="clear" w:color="auto" w:fill="E8F4F3"/>
            <w:tcMar>
              <w:top w:w="80" w:type="dxa"/>
              <w:left w:w="120" w:type="dxa"/>
              <w:bottom w:w="80" w:type="dxa"/>
              <w:right w:w="120" w:type="dxa"/>
            </w:tcMar>
          </w:tcPr>
          <w:p w14:paraId="4F6C85ED" w14:textId="77777777" w:rsidR="00D82A66" w:rsidRDefault="00000000">
            <w:r>
              <w:rPr>
                <w:b/>
                <w:bCs/>
                <w:color w:val="1A2E52"/>
                <w:sz w:val="18"/>
                <w:szCs w:val="18"/>
              </w:rPr>
              <w:t>Status</w:t>
            </w:r>
          </w:p>
        </w:tc>
        <w:tc>
          <w:tcPr>
            <w:tcW w:w="636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115AA653" w14:textId="77777777" w:rsidR="00D82A66" w:rsidRDefault="00000000">
            <w:r>
              <w:rPr>
                <w:color w:val="065F46"/>
                <w:sz w:val="18"/>
                <w:szCs w:val="18"/>
              </w:rPr>
              <w:t>Confirmed by client — ready to implement</w:t>
            </w:r>
          </w:p>
        </w:tc>
      </w:tr>
    </w:tbl>
    <w:p w14:paraId="149D85E3" w14:textId="77777777" w:rsidR="00D82A66" w:rsidRDefault="00D82A66">
      <w:pPr>
        <w:spacing w:before="200"/>
      </w:pPr>
    </w:p>
    <w:p w14:paraId="7A261EF7" w14:textId="77777777" w:rsidR="00D82A66" w:rsidRDefault="00000000">
      <w:pPr>
        <w:shd w:val="clear" w:color="auto" w:fill="0D6E6E"/>
        <w:spacing w:before="240" w:after="120"/>
        <w:ind w:left="160"/>
      </w:pPr>
      <w:r>
        <w:rPr>
          <w:b/>
          <w:bCs/>
          <w:color w:val="FFFFFF"/>
          <w:sz w:val="22"/>
          <w:szCs w:val="22"/>
        </w:rPr>
        <w:t>Item 2 — ITDS Excel File Structure (ASSUMPTION — NEEDS VERIFICATION)</w:t>
      </w:r>
    </w:p>
    <w:p w14:paraId="642ECBEB" w14:textId="77777777" w:rsidR="00D82A66" w:rsidRPr="001B346B" w:rsidRDefault="00D82A66">
      <w:pPr>
        <w:spacing w:before="80"/>
        <w:rPr>
          <w:lang w:val="vi-VN"/>
        </w:rPr>
      </w:pPr>
    </w:p>
    <w:p w14:paraId="7251E8EF" w14:textId="6E8BAAC4" w:rsidR="00D82A66" w:rsidRDefault="00000000">
      <w:pPr>
        <w:spacing w:before="60" w:after="60"/>
        <w:jc w:val="both"/>
      </w:pPr>
      <w:r>
        <w:rPr>
          <w:color w:val="374151"/>
        </w:rPr>
        <w:t xml:space="preserve">Aurilo explained the relationship between the Actuals+FC column and the Previous Forecast column in the ITDS Excel file. </w:t>
      </w:r>
      <w:r w:rsidR="00F25520">
        <w:rPr>
          <w:color w:val="374151"/>
          <w:lang w:val="vi-VN"/>
        </w:rPr>
        <w:t>I’m</w:t>
      </w:r>
      <w:r>
        <w:rPr>
          <w:color w:val="374151"/>
        </w:rPr>
        <w:t xml:space="preserve"> understanding is as follows.</w:t>
      </w:r>
    </w:p>
    <w:p w14:paraId="4B620E9C" w14:textId="77777777" w:rsidR="00D82A66" w:rsidRDefault="00D82A66">
      <w:pPr>
        <w:spacing w:before="80"/>
      </w:pPr>
    </w:p>
    <w:p w14:paraId="0BD76532" w14:textId="77777777" w:rsidR="00D82A66" w:rsidRDefault="00000000">
      <w:pPr>
        <w:spacing w:before="80" w:after="60"/>
        <w:jc w:val="both"/>
      </w:pPr>
      <w:r>
        <w:rPr>
          <w:b/>
          <w:bCs/>
          <w:color w:val="1A2E52"/>
        </w:rPr>
        <w:t xml:space="preserve">Actuals+FC column (Current Forecast): </w:t>
      </w:r>
      <w:r>
        <w:rPr>
          <w:color w:val="374151"/>
        </w:rPr>
        <w:t>This column is updated every month. When a month closes, the actual figure is filled in. At the same time, the forecast for the remaining months is also revised based on the latest actual data. This means the forecast portion of this column changes every month — it is not fixed from the start of the year. By December, all twelve months will contain actual figures.</w:t>
      </w:r>
    </w:p>
    <w:p w14:paraId="6151DF91" w14:textId="77777777" w:rsidR="00D82A66" w:rsidRDefault="00D82A66">
      <w:pPr>
        <w:spacing w:before="60"/>
      </w:pPr>
    </w:p>
    <w:p w14:paraId="1CFAA48E" w14:textId="77777777" w:rsidR="00D82A66" w:rsidRDefault="00000000">
      <w:pPr>
        <w:spacing w:before="80" w:after="60"/>
        <w:jc w:val="both"/>
      </w:pPr>
      <w:r>
        <w:rPr>
          <w:b/>
          <w:bCs/>
          <w:color w:val="1A2E52"/>
        </w:rPr>
        <w:t xml:space="preserve">Previous Forecast column: </w:t>
      </w:r>
      <w:r>
        <w:rPr>
          <w:color w:val="374151"/>
        </w:rPr>
        <w:t>This column also gets the latest actuals filled in each month (same as Actuals+FC). However, the forecast portion is different: instead of using the latest revised forecast, it carries over the forecast figures from the prior month's Actuals+FC column. In other words, at any point in time, Previous Forecast shows what the forecast looked like one month ago, before the latest actuals were taken into account.</w:t>
      </w:r>
    </w:p>
    <w:p w14:paraId="56879E1F" w14:textId="77777777" w:rsidR="00D82A66" w:rsidRDefault="00D82A66">
      <w:pPr>
        <w:spacing w:before="60"/>
      </w:pPr>
    </w:p>
    <w:p w14:paraId="2BC9F07E" w14:textId="77777777" w:rsidR="00D82A66" w:rsidRDefault="00000000">
      <w:pPr>
        <w:spacing w:before="80" w:after="60"/>
        <w:jc w:val="both"/>
      </w:pPr>
      <w:r>
        <w:rPr>
          <w:b/>
          <w:bCs/>
          <w:color w:val="1A2E52"/>
        </w:rPr>
        <w:t xml:space="preserve">Why both columns matter: </w:t>
      </w:r>
      <w:r>
        <w:rPr>
          <w:color w:val="374151"/>
        </w:rPr>
        <w:t>Comparing Current Forecast (Actuals+FC) against Previous Forecast shows how management expectations have shifted over the past month. If the current forecast for a future month is higher than the previous forecast for the same month, it means the team has become more optimistic after seeing the latest actual results. This is a key insight for the Business Review commentary.</w:t>
      </w:r>
    </w:p>
    <w:p w14:paraId="7D1BD475" w14:textId="77777777" w:rsidR="00D82A66" w:rsidRDefault="00D82A66">
      <w:pPr>
        <w:spacing w:before="80"/>
      </w:pPr>
    </w:p>
    <w:p w14:paraId="2FB27FAC" w14:textId="77777777" w:rsidR="00D82A66" w:rsidRDefault="00000000">
      <w:pPr>
        <w:spacing w:before="80" w:after="80"/>
      </w:pPr>
      <w:r>
        <w:rPr>
          <w:b/>
          <w:bCs/>
          <w:color w:val="1A2E52"/>
        </w:rPr>
        <w:t>Concrete example — at the start of June 2026 (after May actuals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D82A66" w14:paraId="0E228239" w14:textId="77777777">
        <w:tc>
          <w:tcPr>
            <w:tcW w:w="1800" w:type="dxa"/>
            <w:tcBorders>
              <w:top w:val="single" w:sz="1" w:space="0" w:color="D1D5DB"/>
              <w:left w:val="single" w:sz="1" w:space="0" w:color="D1D5DB"/>
              <w:bottom w:val="single" w:sz="1" w:space="0" w:color="D1D5DB"/>
              <w:right w:val="single" w:sz="1" w:space="0" w:color="D1D5DB"/>
            </w:tcBorders>
            <w:shd w:val="clear" w:color="auto" w:fill="1A2E52"/>
            <w:tcMar>
              <w:top w:w="80" w:type="dxa"/>
              <w:left w:w="120" w:type="dxa"/>
              <w:bottom w:w="80" w:type="dxa"/>
              <w:right w:w="120" w:type="dxa"/>
            </w:tcMar>
            <w:vAlign w:val="center"/>
          </w:tcPr>
          <w:p w14:paraId="6DD8A400" w14:textId="77777777" w:rsidR="00D82A66" w:rsidRDefault="00000000">
            <w:pPr>
              <w:jc w:val="center"/>
            </w:pPr>
            <w:r>
              <w:rPr>
                <w:b/>
                <w:bCs/>
                <w:color w:val="FFFFFF"/>
                <w:sz w:val="18"/>
                <w:szCs w:val="18"/>
              </w:rPr>
              <w:t>Month</w:t>
            </w:r>
          </w:p>
        </w:tc>
        <w:tc>
          <w:tcPr>
            <w:tcW w:w="1800" w:type="dxa"/>
            <w:tcBorders>
              <w:top w:val="single" w:sz="1" w:space="0" w:color="D1D5DB"/>
              <w:left w:val="single" w:sz="1" w:space="0" w:color="D1D5DB"/>
              <w:bottom w:val="single" w:sz="1" w:space="0" w:color="D1D5DB"/>
              <w:right w:val="single" w:sz="1" w:space="0" w:color="D1D5DB"/>
            </w:tcBorders>
            <w:shd w:val="clear" w:color="auto" w:fill="1A2E52"/>
            <w:tcMar>
              <w:top w:w="80" w:type="dxa"/>
              <w:left w:w="120" w:type="dxa"/>
              <w:bottom w:w="80" w:type="dxa"/>
              <w:right w:w="120" w:type="dxa"/>
            </w:tcMar>
            <w:vAlign w:val="center"/>
          </w:tcPr>
          <w:p w14:paraId="2B188EE2" w14:textId="77777777" w:rsidR="00D82A66" w:rsidRDefault="00000000">
            <w:pPr>
              <w:jc w:val="center"/>
            </w:pPr>
            <w:r>
              <w:rPr>
                <w:b/>
                <w:bCs/>
                <w:color w:val="FFFFFF"/>
                <w:sz w:val="18"/>
                <w:szCs w:val="18"/>
              </w:rPr>
              <w:t>Type</w:t>
            </w:r>
          </w:p>
        </w:tc>
        <w:tc>
          <w:tcPr>
            <w:tcW w:w="2880" w:type="dxa"/>
            <w:tcBorders>
              <w:top w:val="single" w:sz="1" w:space="0" w:color="D1D5DB"/>
              <w:left w:val="single" w:sz="1" w:space="0" w:color="D1D5DB"/>
              <w:bottom w:val="single" w:sz="1" w:space="0" w:color="D1D5DB"/>
              <w:right w:val="single" w:sz="1" w:space="0" w:color="D1D5DB"/>
            </w:tcBorders>
            <w:shd w:val="clear" w:color="auto" w:fill="1A2E52"/>
            <w:tcMar>
              <w:top w:w="80" w:type="dxa"/>
              <w:left w:w="120" w:type="dxa"/>
              <w:bottom w:w="80" w:type="dxa"/>
              <w:right w:w="120" w:type="dxa"/>
            </w:tcMar>
            <w:vAlign w:val="center"/>
          </w:tcPr>
          <w:p w14:paraId="682E49BE" w14:textId="77777777" w:rsidR="00D82A66" w:rsidRDefault="00000000">
            <w:pPr>
              <w:jc w:val="center"/>
            </w:pPr>
            <w:r>
              <w:rPr>
                <w:b/>
                <w:bCs/>
                <w:color w:val="FFFFFF"/>
                <w:sz w:val="18"/>
                <w:szCs w:val="18"/>
              </w:rPr>
              <w:t>Actuals+FC (Current)</w:t>
            </w:r>
          </w:p>
        </w:tc>
        <w:tc>
          <w:tcPr>
            <w:tcW w:w="2880" w:type="dxa"/>
            <w:tcBorders>
              <w:top w:val="single" w:sz="1" w:space="0" w:color="D1D5DB"/>
              <w:left w:val="single" w:sz="1" w:space="0" w:color="D1D5DB"/>
              <w:bottom w:val="single" w:sz="1" w:space="0" w:color="D1D5DB"/>
              <w:right w:val="single" w:sz="1" w:space="0" w:color="D1D5DB"/>
            </w:tcBorders>
            <w:shd w:val="clear" w:color="auto" w:fill="1A2E52"/>
            <w:tcMar>
              <w:top w:w="80" w:type="dxa"/>
              <w:left w:w="120" w:type="dxa"/>
              <w:bottom w:w="80" w:type="dxa"/>
              <w:right w:w="120" w:type="dxa"/>
            </w:tcMar>
            <w:vAlign w:val="center"/>
          </w:tcPr>
          <w:p w14:paraId="52CFEF77" w14:textId="77777777" w:rsidR="00D82A66" w:rsidRDefault="00000000">
            <w:pPr>
              <w:jc w:val="center"/>
            </w:pPr>
            <w:r>
              <w:rPr>
                <w:b/>
                <w:bCs/>
                <w:color w:val="FFFFFF"/>
                <w:sz w:val="18"/>
                <w:szCs w:val="18"/>
              </w:rPr>
              <w:t>Previous Forecast</w:t>
            </w:r>
          </w:p>
        </w:tc>
      </w:tr>
      <w:tr w:rsidR="00D82A66" w14:paraId="55DC1D7B" w14:textId="77777777">
        <w:tc>
          <w:tcPr>
            <w:tcW w:w="1800" w:type="dxa"/>
            <w:tcBorders>
              <w:top w:val="single" w:sz="1" w:space="0" w:color="D1D5DB"/>
              <w:left w:val="single" w:sz="1" w:space="0" w:color="D1D5DB"/>
              <w:bottom w:val="single" w:sz="1" w:space="0" w:color="D1D5DB"/>
              <w:right w:val="single" w:sz="1" w:space="0" w:color="D1D5DB"/>
            </w:tcBorders>
            <w:shd w:val="clear" w:color="auto" w:fill="E8F4F3"/>
            <w:tcMar>
              <w:top w:w="80" w:type="dxa"/>
              <w:left w:w="120" w:type="dxa"/>
              <w:bottom w:w="80" w:type="dxa"/>
              <w:right w:w="120" w:type="dxa"/>
            </w:tcMar>
          </w:tcPr>
          <w:p w14:paraId="5CEA7DF3" w14:textId="77777777" w:rsidR="00D82A66" w:rsidRDefault="00000000">
            <w:r>
              <w:rPr>
                <w:color w:val="374151"/>
                <w:sz w:val="18"/>
                <w:szCs w:val="18"/>
              </w:rPr>
              <w:t>Jan–May</w:t>
            </w:r>
          </w:p>
        </w:tc>
        <w:tc>
          <w:tcPr>
            <w:tcW w:w="1800" w:type="dxa"/>
            <w:tcBorders>
              <w:top w:val="single" w:sz="1" w:space="0" w:color="D1D5DB"/>
              <w:left w:val="single" w:sz="1" w:space="0" w:color="D1D5DB"/>
              <w:bottom w:val="single" w:sz="1" w:space="0" w:color="D1D5DB"/>
              <w:right w:val="single" w:sz="1" w:space="0" w:color="D1D5DB"/>
            </w:tcBorders>
            <w:shd w:val="clear" w:color="auto" w:fill="E8F4F3"/>
            <w:tcMar>
              <w:top w:w="80" w:type="dxa"/>
              <w:left w:w="120" w:type="dxa"/>
              <w:bottom w:w="80" w:type="dxa"/>
              <w:right w:w="120" w:type="dxa"/>
            </w:tcMar>
          </w:tcPr>
          <w:p w14:paraId="2AEECACA" w14:textId="77777777" w:rsidR="00D82A66" w:rsidRDefault="00000000">
            <w:r>
              <w:rPr>
                <w:b/>
                <w:bCs/>
                <w:color w:val="1A2E52"/>
                <w:sz w:val="18"/>
                <w:szCs w:val="18"/>
              </w:rPr>
              <w:t>Actual</w:t>
            </w:r>
          </w:p>
        </w:tc>
        <w:tc>
          <w:tcPr>
            <w:tcW w:w="2880" w:type="dxa"/>
            <w:tcBorders>
              <w:top w:val="single" w:sz="1" w:space="0" w:color="D1D5DB"/>
              <w:left w:val="single" w:sz="1" w:space="0" w:color="D1D5DB"/>
              <w:bottom w:val="single" w:sz="1" w:space="0" w:color="D1D5DB"/>
              <w:right w:val="single" w:sz="1" w:space="0" w:color="D1D5DB"/>
            </w:tcBorders>
            <w:shd w:val="clear" w:color="auto" w:fill="E8F4F3"/>
            <w:tcMar>
              <w:top w:w="80" w:type="dxa"/>
              <w:left w:w="120" w:type="dxa"/>
              <w:bottom w:w="80" w:type="dxa"/>
              <w:right w:w="120" w:type="dxa"/>
            </w:tcMar>
          </w:tcPr>
          <w:p w14:paraId="25E6765C" w14:textId="77777777" w:rsidR="00D82A66" w:rsidRDefault="00000000">
            <w:r>
              <w:rPr>
                <w:color w:val="374151"/>
                <w:sz w:val="18"/>
                <w:szCs w:val="18"/>
              </w:rPr>
              <w:t>Actual figures (same in both columns)</w:t>
            </w:r>
          </w:p>
        </w:tc>
        <w:tc>
          <w:tcPr>
            <w:tcW w:w="2880" w:type="dxa"/>
            <w:tcBorders>
              <w:top w:val="single" w:sz="1" w:space="0" w:color="D1D5DB"/>
              <w:left w:val="single" w:sz="1" w:space="0" w:color="D1D5DB"/>
              <w:bottom w:val="single" w:sz="1" w:space="0" w:color="D1D5DB"/>
              <w:right w:val="single" w:sz="1" w:space="0" w:color="D1D5DB"/>
            </w:tcBorders>
            <w:shd w:val="clear" w:color="auto" w:fill="E8F4F3"/>
            <w:tcMar>
              <w:top w:w="80" w:type="dxa"/>
              <w:left w:w="120" w:type="dxa"/>
              <w:bottom w:w="80" w:type="dxa"/>
              <w:right w:w="120" w:type="dxa"/>
            </w:tcMar>
          </w:tcPr>
          <w:p w14:paraId="15576C22" w14:textId="77777777" w:rsidR="00D82A66" w:rsidRDefault="00000000">
            <w:r>
              <w:rPr>
                <w:color w:val="374151"/>
                <w:sz w:val="18"/>
                <w:szCs w:val="18"/>
              </w:rPr>
              <w:t>Actual figures (same in both columns)</w:t>
            </w:r>
          </w:p>
        </w:tc>
      </w:tr>
      <w:tr w:rsidR="00D82A66" w14:paraId="51586C3B" w14:textId="77777777">
        <w:tc>
          <w:tcPr>
            <w:tcW w:w="18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7863DC4F" w14:textId="77777777" w:rsidR="00D82A66" w:rsidRDefault="00000000">
            <w:r>
              <w:rPr>
                <w:color w:val="374151"/>
                <w:sz w:val="18"/>
                <w:szCs w:val="18"/>
              </w:rPr>
              <w:t>Jun–Dec</w:t>
            </w:r>
          </w:p>
        </w:tc>
        <w:tc>
          <w:tcPr>
            <w:tcW w:w="18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2A07C0BB" w14:textId="77777777" w:rsidR="00D82A66" w:rsidRDefault="00000000">
            <w:r>
              <w:rPr>
                <w:b/>
                <w:bCs/>
                <w:color w:val="1A2E52"/>
                <w:sz w:val="18"/>
                <w:szCs w:val="18"/>
              </w:rPr>
              <w:t>Forecast</w:t>
            </w:r>
          </w:p>
        </w:tc>
        <w:tc>
          <w:tcPr>
            <w:tcW w:w="288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06798D58" w14:textId="77777777" w:rsidR="00D82A66" w:rsidRDefault="00000000">
            <w:r>
              <w:rPr>
                <w:color w:val="065F46"/>
                <w:sz w:val="18"/>
                <w:szCs w:val="18"/>
              </w:rPr>
              <w:t>Revised forecast based on May actuals</w:t>
            </w:r>
          </w:p>
        </w:tc>
        <w:tc>
          <w:tcPr>
            <w:tcW w:w="288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0030206B" w14:textId="77777777" w:rsidR="00D82A66" w:rsidRDefault="00000000">
            <w:r>
              <w:rPr>
                <w:color w:val="92400E"/>
                <w:sz w:val="18"/>
                <w:szCs w:val="18"/>
              </w:rPr>
              <w:t>Forecast from last month (before May actuals)</w:t>
            </w:r>
          </w:p>
        </w:tc>
      </w:tr>
    </w:tbl>
    <w:p w14:paraId="348CE467" w14:textId="5F0B2CB0" w:rsidR="00D82A66" w:rsidRPr="00351CE6" w:rsidRDefault="00D82A66" w:rsidP="00351CE6">
      <w:pPr>
        <w:pBdr>
          <w:left w:val="single" w:sz="6" w:space="4" w:color="1E40AF"/>
        </w:pBdr>
        <w:shd w:val="clear" w:color="auto" w:fill="EFF6FF"/>
        <w:spacing w:before="60" w:after="80"/>
        <w:rPr>
          <w:lang w:val="vi-VN"/>
        </w:rPr>
      </w:pPr>
    </w:p>
    <w:sectPr w:rsidR="00D82A66" w:rsidRPr="00351CE6">
      <w:headerReference w:type="default" r:id="rId7"/>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67F590" w14:textId="77777777" w:rsidR="00B130EB" w:rsidRDefault="00B130EB">
      <w:r>
        <w:separator/>
      </w:r>
    </w:p>
  </w:endnote>
  <w:endnote w:type="continuationSeparator" w:id="0">
    <w:p w14:paraId="426C5F3E" w14:textId="77777777" w:rsidR="00B130EB" w:rsidRDefault="00B13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7CD6F4" w14:textId="77777777" w:rsidR="00B130EB" w:rsidRDefault="00B130EB">
      <w:r>
        <w:separator/>
      </w:r>
    </w:p>
  </w:footnote>
  <w:footnote w:type="continuationSeparator" w:id="0">
    <w:p w14:paraId="58E464EB" w14:textId="77777777" w:rsidR="00B130EB" w:rsidRDefault="00B13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2CDB4E" w14:textId="23CC705F" w:rsidR="00D82A66" w:rsidRDefault="00000000">
    <w:pPr>
      <w:pBdr>
        <w:bottom w:val="single" w:sz="4" w:space="2" w:color="0D6E6E"/>
      </w:pBdr>
      <w:tabs>
        <w:tab w:val="right" w:pos="9026"/>
      </w:tabs>
    </w:pP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015205"/>
    <w:multiLevelType w:val="hybridMultilevel"/>
    <w:tmpl w:val="B9E6420A"/>
    <w:lvl w:ilvl="0" w:tplc="CAC44068">
      <w:start w:val="1"/>
      <w:numFmt w:val="bullet"/>
      <w:lvlText w:val="●"/>
      <w:lvlJc w:val="left"/>
      <w:pPr>
        <w:ind w:left="720" w:hanging="360"/>
      </w:pPr>
    </w:lvl>
    <w:lvl w:ilvl="1" w:tplc="474ED8C8">
      <w:start w:val="1"/>
      <w:numFmt w:val="bullet"/>
      <w:lvlText w:val="○"/>
      <w:lvlJc w:val="left"/>
      <w:pPr>
        <w:ind w:left="1440" w:hanging="360"/>
      </w:pPr>
    </w:lvl>
    <w:lvl w:ilvl="2" w:tplc="0B0E6A82">
      <w:start w:val="1"/>
      <w:numFmt w:val="bullet"/>
      <w:lvlText w:val="■"/>
      <w:lvlJc w:val="left"/>
      <w:pPr>
        <w:ind w:left="2160" w:hanging="360"/>
      </w:pPr>
    </w:lvl>
    <w:lvl w:ilvl="3" w:tplc="783AD202">
      <w:start w:val="1"/>
      <w:numFmt w:val="bullet"/>
      <w:lvlText w:val="●"/>
      <w:lvlJc w:val="left"/>
      <w:pPr>
        <w:ind w:left="2880" w:hanging="360"/>
      </w:pPr>
    </w:lvl>
    <w:lvl w:ilvl="4" w:tplc="4566C3B8">
      <w:start w:val="1"/>
      <w:numFmt w:val="bullet"/>
      <w:lvlText w:val="○"/>
      <w:lvlJc w:val="left"/>
      <w:pPr>
        <w:ind w:left="3600" w:hanging="360"/>
      </w:pPr>
    </w:lvl>
    <w:lvl w:ilvl="5" w:tplc="03145140">
      <w:start w:val="1"/>
      <w:numFmt w:val="bullet"/>
      <w:lvlText w:val="■"/>
      <w:lvlJc w:val="left"/>
      <w:pPr>
        <w:ind w:left="4320" w:hanging="360"/>
      </w:pPr>
    </w:lvl>
    <w:lvl w:ilvl="6" w:tplc="983472E0">
      <w:start w:val="1"/>
      <w:numFmt w:val="bullet"/>
      <w:lvlText w:val="●"/>
      <w:lvlJc w:val="left"/>
      <w:pPr>
        <w:ind w:left="5040" w:hanging="360"/>
      </w:pPr>
    </w:lvl>
    <w:lvl w:ilvl="7" w:tplc="5F6C214E">
      <w:start w:val="1"/>
      <w:numFmt w:val="bullet"/>
      <w:lvlText w:val="●"/>
      <w:lvlJc w:val="left"/>
      <w:pPr>
        <w:ind w:left="5760" w:hanging="360"/>
      </w:pPr>
    </w:lvl>
    <w:lvl w:ilvl="8" w:tplc="139A5CE4">
      <w:start w:val="1"/>
      <w:numFmt w:val="bullet"/>
      <w:lvlText w:val="●"/>
      <w:lvlJc w:val="left"/>
      <w:pPr>
        <w:ind w:left="6480" w:hanging="360"/>
      </w:pPr>
    </w:lvl>
  </w:abstractNum>
  <w:num w:numId="1" w16cid:durableId="45699273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A66"/>
    <w:rsid w:val="00034FAE"/>
    <w:rsid w:val="001B346B"/>
    <w:rsid w:val="00351CE6"/>
    <w:rsid w:val="00914B9C"/>
    <w:rsid w:val="00B130EB"/>
    <w:rsid w:val="00B86FCE"/>
    <w:rsid w:val="00D82A66"/>
    <w:rsid w:val="00EF75FA"/>
    <w:rsid w:val="00F2552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4BEDFBF"/>
  <w15:docId w15:val="{4F8175B0-8403-A042-A2A2-19005540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346B"/>
    <w:pPr>
      <w:tabs>
        <w:tab w:val="center" w:pos="4680"/>
        <w:tab w:val="right" w:pos="9360"/>
      </w:tabs>
    </w:pPr>
  </w:style>
  <w:style w:type="character" w:customStyle="1" w:styleId="HeaderChar">
    <w:name w:val="Header Char"/>
    <w:basedOn w:val="DefaultParagraphFont"/>
    <w:link w:val="Header"/>
    <w:uiPriority w:val="99"/>
    <w:rsid w:val="001B346B"/>
  </w:style>
  <w:style w:type="paragraph" w:styleId="Footer">
    <w:name w:val="footer"/>
    <w:basedOn w:val="Normal"/>
    <w:link w:val="FooterChar"/>
    <w:uiPriority w:val="99"/>
    <w:unhideWhenUsed/>
    <w:rsid w:val="001B346B"/>
    <w:pPr>
      <w:tabs>
        <w:tab w:val="center" w:pos="4680"/>
        <w:tab w:val="right" w:pos="9360"/>
      </w:tabs>
    </w:pPr>
  </w:style>
  <w:style w:type="character" w:customStyle="1" w:styleId="FooterChar">
    <w:name w:val="Footer Char"/>
    <w:basedOn w:val="DefaultParagraphFont"/>
    <w:link w:val="Footer"/>
    <w:uiPriority w:val="99"/>
    <w:rsid w:val="001B34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 Bach</cp:lastModifiedBy>
  <cp:revision>2</cp:revision>
  <dcterms:created xsi:type="dcterms:W3CDTF">2026-07-07T15:28:00Z</dcterms:created>
  <dcterms:modified xsi:type="dcterms:W3CDTF">2026-07-07T15:28:00Z</dcterms:modified>
</cp:coreProperties>
</file>