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B990" w14:textId="77777777" w:rsidR="00967115" w:rsidRDefault="00000000">
      <w:r>
        <w:rPr>
          <w:b/>
          <w:color w:val="1F3864"/>
          <w:sz w:val="44"/>
        </w:rPr>
        <w:t>Closing Variance AI Agent</w:t>
      </w:r>
    </w:p>
    <w:p w14:paraId="1F67AE8B" w14:textId="77777777" w:rsidR="00967115" w:rsidRDefault="00000000">
      <w:r>
        <w:rPr>
          <w:color w:val="555555"/>
          <w:sz w:val="25"/>
        </w:rPr>
        <w:t>Scope, Approach &amp; Dependencies — Response to the Functional Brief</w:t>
      </w:r>
    </w:p>
    <w:p w14:paraId="679FCD2E" w14:textId="2028443B" w:rsidR="00967115" w:rsidRDefault="00000000">
      <w:r>
        <w:rPr>
          <w:color w:val="555555"/>
          <w:sz w:val="19"/>
        </w:rPr>
        <w:t>Prepared for: Aurilo Group — Finance / Business Performance Team</w:t>
      </w:r>
      <w:r>
        <w:rPr>
          <w:color w:val="555555"/>
          <w:sz w:val="19"/>
        </w:rPr>
        <w:br/>
        <w:t xml:space="preserve">Prepared by: </w:t>
      </w:r>
      <w:r w:rsidR="002F3616">
        <w:rPr>
          <w:color w:val="555555"/>
          <w:sz w:val="19"/>
        </w:rPr>
        <w:t>ITP</w:t>
      </w:r>
      <w:r>
        <w:rPr>
          <w:color w:val="555555"/>
          <w:sz w:val="19"/>
        </w:rPr>
        <w:t xml:space="preserve"> Team</w:t>
      </w:r>
      <w:r>
        <w:rPr>
          <w:color w:val="555555"/>
          <w:sz w:val="19"/>
        </w:rPr>
        <w:br/>
        <w:t>Date: 9 July 2026    |    Version: 1.2 (materiality re-sourced to the brief; Actuals+FC confirmed, Previous Forecast ~80%)</w:t>
      </w:r>
    </w:p>
    <w:p w14:paraId="788F50DF" w14:textId="77777777" w:rsidR="00967115" w:rsidRDefault="00967115"/>
    <w:p w14:paraId="2D1E822F" w14:textId="77777777" w:rsidR="00967115" w:rsidRDefault="00000000">
      <w:r>
        <w:rPr>
          <w:b/>
          <w:color w:val="1F3864"/>
          <w:sz w:val="30"/>
        </w:rPr>
        <w:t>1. Executive Summary</w:t>
      </w:r>
    </w:p>
    <w:p w14:paraId="067512A1" w14:textId="77777777" w:rsidR="00967115" w:rsidRDefault="00000000">
      <w:pPr>
        <w:spacing w:after="120"/>
      </w:pPr>
      <w:r>
        <w:t>We have reviewed the Closing Variance AI Agent brief (Draft 1.0). The brief describes a comprehensive solution spanning variance detection, stakeholder follow-up via Microsoft Teams, a structured knowledge base, a Business Controller validation gate, and governance controls.</w:t>
      </w:r>
    </w:p>
    <w:p w14:paraId="54585DE3" w14:textId="77777777" w:rsidR="00967115" w:rsidRDefault="00000000">
      <w:pPr>
        <w:spacing w:after="120"/>
      </w:pPr>
      <w:r>
        <w:t>Our assessment is that the full brief cannot realistically be delivered within a three-week window. It effectively describes two products combined: (A) automated variance detection and draft commentary, and (B) an orchestrated collection-and-knowledge-base workflow with governance. A large part of (B) depends on inputs and infrastructure that sit outside our control.</w:t>
      </w:r>
    </w:p>
    <w:p w14:paraId="5D16BE88" w14:textId="77777777" w:rsidR="00967115" w:rsidRDefault="00000000">
      <w:r>
        <w:rPr>
          <w:b/>
        </w:rPr>
        <w:t>Our proposed approach: deliver the client-defined Minimum Viable Pilot (brief, Section 15) for a single business unit — ITDS — within three weeks, and treat the remaining brief requirements as a subsequent phase.</w:t>
      </w:r>
    </w:p>
    <w:p w14:paraId="4C9844EB" w14:textId="77777777" w:rsidR="00967115" w:rsidRDefault="00000000">
      <w:r>
        <w:rPr>
          <w:b/>
          <w:color w:val="1F3864"/>
          <w:sz w:val="30"/>
        </w:rPr>
        <w:t>2. Proposed Scope — ITDS Pilot (3 Weeks)</w:t>
      </w:r>
    </w:p>
    <w:p w14:paraId="0898B93A" w14:textId="77777777" w:rsidR="00967115" w:rsidRDefault="00000000">
      <w:pPr>
        <w:spacing w:after="120"/>
      </w:pPr>
      <w:r>
        <w:t>We will focus exclusively on the ITDS business unit and target the six requirements of the Minimum Viable Pilot defined in Section 15 of the brief: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"/>
        <w:gridCol w:w="4249"/>
        <w:gridCol w:w="4069"/>
      </w:tblGrid>
      <w:tr w:rsidR="00967115" w14:paraId="499F6EBF" w14:textId="77777777">
        <w:trPr>
          <w:tblHeader/>
          <w:jc w:val="center"/>
        </w:trPr>
        <w:tc>
          <w:tcPr>
            <w:tcW w:w="576" w:type="dxa"/>
            <w:shd w:val="clear" w:color="auto" w:fill="1F3864"/>
          </w:tcPr>
          <w:p w14:paraId="66068EFB" w14:textId="77777777" w:rsidR="00967115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52" w:type="dxa"/>
            <w:shd w:val="clear" w:color="auto" w:fill="1F3864"/>
          </w:tcPr>
          <w:p w14:paraId="24A813C5" w14:textId="77777777" w:rsidR="00967115" w:rsidRDefault="00000000">
            <w:r>
              <w:rPr>
                <w:b/>
                <w:color w:val="FFFFFF"/>
                <w:sz w:val="20"/>
              </w:rPr>
              <w:t>MVP requirement (brief §15)</w:t>
            </w:r>
          </w:p>
        </w:tc>
        <w:tc>
          <w:tcPr>
            <w:tcW w:w="4464" w:type="dxa"/>
            <w:shd w:val="clear" w:color="auto" w:fill="1F3864"/>
          </w:tcPr>
          <w:p w14:paraId="5F0B2536" w14:textId="77777777" w:rsidR="00967115" w:rsidRDefault="00000000">
            <w:r>
              <w:rPr>
                <w:b/>
                <w:color w:val="FFFFFF"/>
                <w:sz w:val="20"/>
              </w:rPr>
              <w:t>Status / notes</w:t>
            </w:r>
          </w:p>
        </w:tc>
      </w:tr>
      <w:tr w:rsidR="00967115" w14:paraId="1C3ABBBC" w14:textId="77777777">
        <w:trPr>
          <w:jc w:val="center"/>
        </w:trPr>
        <w:tc>
          <w:tcPr>
            <w:tcW w:w="576" w:type="dxa"/>
          </w:tcPr>
          <w:p w14:paraId="04685EF8" w14:textId="77777777" w:rsidR="00967115" w:rsidRDefault="00000000">
            <w:r>
              <w:rPr>
                <w:sz w:val="19"/>
              </w:rPr>
              <w:t>1</w:t>
            </w:r>
          </w:p>
        </w:tc>
        <w:tc>
          <w:tcPr>
            <w:tcW w:w="4752" w:type="dxa"/>
          </w:tcPr>
          <w:p w14:paraId="331011CF" w14:textId="77777777" w:rsidR="00967115" w:rsidRDefault="00000000">
            <w:r>
              <w:rPr>
                <w:sz w:val="19"/>
              </w:rPr>
              <w:t>One business unit</w:t>
            </w:r>
          </w:p>
        </w:tc>
        <w:tc>
          <w:tcPr>
            <w:tcW w:w="4464" w:type="dxa"/>
          </w:tcPr>
          <w:p w14:paraId="0A87F124" w14:textId="77777777" w:rsidR="00967115" w:rsidRDefault="00000000">
            <w:r>
              <w:rPr>
                <w:sz w:val="19"/>
              </w:rPr>
              <w:t>ITDS only (masterDataSheet). Translated source file already prepared.</w:t>
            </w:r>
          </w:p>
        </w:tc>
      </w:tr>
      <w:tr w:rsidR="00967115" w14:paraId="378A9EDA" w14:textId="77777777">
        <w:trPr>
          <w:jc w:val="center"/>
        </w:trPr>
        <w:tc>
          <w:tcPr>
            <w:tcW w:w="576" w:type="dxa"/>
            <w:shd w:val="clear" w:color="auto" w:fill="EEF1F7"/>
          </w:tcPr>
          <w:p w14:paraId="1440E3FB" w14:textId="77777777" w:rsidR="00967115" w:rsidRDefault="00000000">
            <w:r>
              <w:rPr>
                <w:sz w:val="19"/>
              </w:rPr>
              <w:t>2</w:t>
            </w:r>
          </w:p>
        </w:tc>
        <w:tc>
          <w:tcPr>
            <w:tcW w:w="4752" w:type="dxa"/>
            <w:shd w:val="clear" w:color="auto" w:fill="EEF1F7"/>
          </w:tcPr>
          <w:p w14:paraId="1876CF01" w14:textId="77777777" w:rsidR="00967115" w:rsidRDefault="00000000">
            <w:r>
              <w:rPr>
                <w:sz w:val="19"/>
              </w:rPr>
              <w:t>P&amp;L actual vs forecast data only</w:t>
            </w:r>
          </w:p>
        </w:tc>
        <w:tc>
          <w:tcPr>
            <w:tcW w:w="4464" w:type="dxa"/>
            <w:shd w:val="clear" w:color="auto" w:fill="EEF1F7"/>
          </w:tcPr>
          <w:p w14:paraId="20F02365" w14:textId="77777777" w:rsidR="00967115" w:rsidRDefault="00000000">
            <w:r>
              <w:rPr>
                <w:sz w:val="19"/>
              </w:rPr>
              <w:t>ACTUAL and PREVIOUS FORECAST blocks already present in the file.</w:t>
            </w:r>
          </w:p>
        </w:tc>
      </w:tr>
      <w:tr w:rsidR="00967115" w14:paraId="166466E4" w14:textId="77777777">
        <w:trPr>
          <w:jc w:val="center"/>
        </w:trPr>
        <w:tc>
          <w:tcPr>
            <w:tcW w:w="576" w:type="dxa"/>
          </w:tcPr>
          <w:p w14:paraId="5BFCDDC5" w14:textId="77777777" w:rsidR="00967115" w:rsidRDefault="00000000">
            <w:r>
              <w:rPr>
                <w:sz w:val="19"/>
              </w:rPr>
              <w:t>3</w:t>
            </w:r>
          </w:p>
        </w:tc>
        <w:tc>
          <w:tcPr>
            <w:tcW w:w="4752" w:type="dxa"/>
          </w:tcPr>
          <w:p w14:paraId="0ED4C0D6" w14:textId="77777777" w:rsidR="00967115" w:rsidRDefault="00000000">
            <w:r>
              <w:rPr>
                <w:sz w:val="19"/>
              </w:rPr>
              <w:t>A small agreed set of materiality thresholds</w:t>
            </w:r>
          </w:p>
        </w:tc>
        <w:tc>
          <w:tcPr>
            <w:tcW w:w="4464" w:type="dxa"/>
          </w:tcPr>
          <w:p w14:paraId="12F6854C" w14:textId="77777777" w:rsidR="00967115" w:rsidRDefault="00000000">
            <w:r>
              <w:rPr>
                <w:sz w:val="19"/>
              </w:rPr>
              <w:t>Client to confirm final values (see Section 5).</w:t>
            </w:r>
          </w:p>
        </w:tc>
      </w:tr>
      <w:tr w:rsidR="00967115" w14:paraId="01E0ACC2" w14:textId="77777777">
        <w:trPr>
          <w:jc w:val="center"/>
        </w:trPr>
        <w:tc>
          <w:tcPr>
            <w:tcW w:w="576" w:type="dxa"/>
            <w:shd w:val="clear" w:color="auto" w:fill="EEF1F7"/>
          </w:tcPr>
          <w:p w14:paraId="24CBE7BC" w14:textId="77777777" w:rsidR="00967115" w:rsidRDefault="00000000">
            <w:r>
              <w:rPr>
                <w:sz w:val="19"/>
              </w:rPr>
              <w:t>4</w:t>
            </w:r>
          </w:p>
        </w:tc>
        <w:tc>
          <w:tcPr>
            <w:tcW w:w="4752" w:type="dxa"/>
            <w:shd w:val="clear" w:color="auto" w:fill="EEF1F7"/>
          </w:tcPr>
          <w:p w14:paraId="3D85E5E6" w14:textId="77777777" w:rsidR="00967115" w:rsidRDefault="00000000">
            <w:r>
              <w:rPr>
                <w:sz w:val="19"/>
              </w:rPr>
              <w:t>Teams for questions and reminders</w:t>
            </w:r>
          </w:p>
        </w:tc>
        <w:tc>
          <w:tcPr>
            <w:tcW w:w="4464" w:type="dxa"/>
            <w:shd w:val="clear" w:color="auto" w:fill="EEF1F7"/>
          </w:tcPr>
          <w:p w14:paraId="54D170C9" w14:textId="77777777" w:rsidR="00967115" w:rsidRDefault="00000000">
            <w:r>
              <w:rPr>
                <w:sz w:val="19"/>
              </w:rPr>
              <w:t>Requires Teams bot access (dependency — Section 4).</w:t>
            </w:r>
          </w:p>
        </w:tc>
      </w:tr>
      <w:tr w:rsidR="00967115" w14:paraId="124CE5CC" w14:textId="77777777">
        <w:trPr>
          <w:jc w:val="center"/>
        </w:trPr>
        <w:tc>
          <w:tcPr>
            <w:tcW w:w="576" w:type="dxa"/>
          </w:tcPr>
          <w:p w14:paraId="23504ADF" w14:textId="77777777" w:rsidR="00967115" w:rsidRDefault="00000000">
            <w:r>
              <w:rPr>
                <w:sz w:val="19"/>
              </w:rPr>
              <w:t>5</w:t>
            </w:r>
          </w:p>
        </w:tc>
        <w:tc>
          <w:tcPr>
            <w:tcW w:w="4752" w:type="dxa"/>
          </w:tcPr>
          <w:p w14:paraId="5A550FEC" w14:textId="77777777" w:rsidR="00967115" w:rsidRDefault="00000000">
            <w:r>
              <w:rPr>
                <w:sz w:val="19"/>
              </w:rPr>
              <w:t>SharePoint List or Dataverse as first knowledge base</w:t>
            </w:r>
          </w:p>
        </w:tc>
        <w:tc>
          <w:tcPr>
            <w:tcW w:w="4464" w:type="dxa"/>
          </w:tcPr>
          <w:p w14:paraId="0C50C973" w14:textId="77777777" w:rsidR="00967115" w:rsidRDefault="00000000">
            <w:r>
              <w:rPr>
                <w:sz w:val="19"/>
              </w:rPr>
              <w:t>Requires owner mapping + KB store (dependency — Section 4).</w:t>
            </w:r>
          </w:p>
        </w:tc>
      </w:tr>
      <w:tr w:rsidR="00967115" w14:paraId="48CB808C" w14:textId="77777777">
        <w:trPr>
          <w:jc w:val="center"/>
        </w:trPr>
        <w:tc>
          <w:tcPr>
            <w:tcW w:w="576" w:type="dxa"/>
            <w:shd w:val="clear" w:color="auto" w:fill="EEF1F7"/>
          </w:tcPr>
          <w:p w14:paraId="2B186C3F" w14:textId="77777777" w:rsidR="00967115" w:rsidRDefault="00000000">
            <w:r>
              <w:rPr>
                <w:sz w:val="19"/>
              </w:rPr>
              <w:t>6</w:t>
            </w:r>
          </w:p>
        </w:tc>
        <w:tc>
          <w:tcPr>
            <w:tcW w:w="4752" w:type="dxa"/>
            <w:shd w:val="clear" w:color="auto" w:fill="EEF1F7"/>
          </w:tcPr>
          <w:p w14:paraId="62FD7C02" w14:textId="77777777" w:rsidR="00967115" w:rsidRDefault="00000000">
            <w:r>
              <w:rPr>
                <w:sz w:val="19"/>
              </w:rPr>
              <w:t>Finance review before comments are used</w:t>
            </w:r>
          </w:p>
        </w:tc>
        <w:tc>
          <w:tcPr>
            <w:tcW w:w="4464" w:type="dxa"/>
            <w:shd w:val="clear" w:color="auto" w:fill="EEF1F7"/>
          </w:tcPr>
          <w:p w14:paraId="318B51BD" w14:textId="77777777" w:rsidR="00967115" w:rsidRDefault="00000000">
            <w:r>
              <w:rPr>
                <w:sz w:val="19"/>
              </w:rPr>
              <w:t>Agent produces draft only; no auto-publish.</w:t>
            </w:r>
          </w:p>
        </w:tc>
      </w:tr>
    </w:tbl>
    <w:p w14:paraId="420F603D" w14:textId="77777777" w:rsidR="00967115" w:rsidRDefault="00967115"/>
    <w:p w14:paraId="62EBD4C8" w14:textId="77777777" w:rsidR="00967115" w:rsidRDefault="00000000">
      <w:pPr>
        <w:spacing w:after="120"/>
      </w:pPr>
      <w:r>
        <w:t>Explicitly OUT of scope for this pilot (deferred to a later phase):</w:t>
      </w:r>
    </w:p>
    <w:p w14:paraId="0C4EE795" w14:textId="77777777" w:rsidR="00967115" w:rsidRDefault="00000000">
      <w:pPr>
        <w:pStyle w:val="ListBullet"/>
      </w:pPr>
      <w:r>
        <w:rPr>
          <w:b/>
        </w:rPr>
        <w:t>Other business units:</w:t>
      </w:r>
      <w:r>
        <w:t xml:space="preserve"> Managed Services (MS) and Group / Management report files.</w:t>
      </w:r>
    </w:p>
    <w:p w14:paraId="4A16FA52" w14:textId="77777777" w:rsidR="00967115" w:rsidRDefault="00000000">
      <w:pPr>
        <w:pStyle w:val="ListBullet"/>
      </w:pPr>
      <w:r>
        <w:rPr>
          <w:b/>
        </w:rPr>
        <w:t>Additional dimensions:</w:t>
      </w:r>
      <w:r>
        <w:t xml:space="preserve"> customer, cost-centre, service-area and project-level breakdowns.</w:t>
      </w:r>
    </w:p>
    <w:p w14:paraId="6E8E08A8" w14:textId="77777777" w:rsidR="00967115" w:rsidRDefault="00000000">
      <w:pPr>
        <w:pStyle w:val="ListBullet"/>
      </w:pPr>
      <w:r>
        <w:rPr>
          <w:b/>
        </w:rPr>
        <w:t>Advanced routing:</w:t>
      </w:r>
      <w:r>
        <w:t xml:space="preserve"> Business Controller validation gate and confidence-based routing (brief §7–8).</w:t>
      </w:r>
    </w:p>
    <w:p w14:paraId="59EF124F" w14:textId="77777777" w:rsidR="00967115" w:rsidRDefault="00000000">
      <w:pPr>
        <w:pStyle w:val="ListBullet"/>
      </w:pPr>
      <w:r>
        <w:rPr>
          <w:b/>
        </w:rPr>
        <w:lastRenderedPageBreak/>
        <w:t>Governance:</w:t>
      </w:r>
      <w:r>
        <w:t xml:space="preserve"> role-based access, full audit trail, version history, escalation paths (brief §14).</w:t>
      </w:r>
    </w:p>
    <w:p w14:paraId="439E5583" w14:textId="77777777" w:rsidR="00967115" w:rsidRDefault="00000000">
      <w:r>
        <w:rPr>
          <w:b/>
          <w:color w:val="1F3864"/>
          <w:sz w:val="30"/>
        </w:rPr>
        <w:t>3. Work We Can Start Immediately (No External Dependency)</w:t>
      </w:r>
    </w:p>
    <w:p w14:paraId="2C436340" w14:textId="77777777" w:rsidR="00967115" w:rsidRDefault="00000000">
      <w:pPr>
        <w:spacing w:after="120"/>
      </w:pPr>
      <w:r>
        <w:t>The following can proceed in parallel while the client provisions the dependencies in Section 4:</w:t>
      </w:r>
    </w:p>
    <w:p w14:paraId="30434DDE" w14:textId="77777777" w:rsidR="00967115" w:rsidRDefault="00000000">
      <w:pPr>
        <w:pStyle w:val="ListBullet"/>
      </w:pPr>
      <w:r>
        <w:rPr>
          <w:b/>
        </w:rPr>
        <w:t xml:space="preserve">Ingestion: </w:t>
      </w:r>
      <w:r>
        <w:t xml:space="preserve"> parse the ITDS masterDataSheet into a normalised, auditable dataset (Current Forecast / Actuals+FC vs Previous Forecast).</w:t>
      </w:r>
    </w:p>
    <w:p w14:paraId="210EF94B" w14:textId="77777777" w:rsidR="00967115" w:rsidRDefault="00000000">
      <w:pPr>
        <w:pStyle w:val="ListBullet"/>
      </w:pPr>
      <w:r>
        <w:rPr>
          <w:b/>
        </w:rPr>
        <w:t xml:space="preserve">Validation: </w:t>
      </w:r>
      <w:r>
        <w:t xml:space="preserve"> stop the pipeline if required forecast/actual columns are missing.</w:t>
      </w:r>
    </w:p>
    <w:p w14:paraId="567E7C33" w14:textId="77777777" w:rsidR="00967115" w:rsidRDefault="00000000">
      <w:pPr>
        <w:pStyle w:val="ListBullet"/>
      </w:pPr>
      <w:r>
        <w:rPr>
          <w:b/>
        </w:rPr>
        <w:t xml:space="preserve">Variance engine: </w:t>
      </w:r>
      <w:r>
        <w:t xml:space="preserve"> flag every P&amp;L line whose month-on-month forecast movement breaches any of the brief's Section 9 materiality rules (absolute &gt; EUR25k or percentage &gt; 10%, plus the per-line rules), and surface a highlighted top 5-10 by absolute magnitude.</w:t>
      </w:r>
    </w:p>
    <w:p w14:paraId="4D6F9515" w14:textId="77777777" w:rsidR="00967115" w:rsidRDefault="00000000">
      <w:pPr>
        <w:pStyle w:val="ListBullet"/>
      </w:pPr>
      <w:r>
        <w:rPr>
          <w:b/>
        </w:rPr>
        <w:t xml:space="preserve">LLM layer: </w:t>
      </w:r>
      <w:r>
        <w:t xml:space="preserve"> a provider-agnostic integration so Aurilo’s internal LLM can be connected by configuration once available; tested meanwhile with dummy figures only.</w:t>
      </w:r>
    </w:p>
    <w:p w14:paraId="4CB71754" w14:textId="77777777" w:rsidR="00967115" w:rsidRDefault="00000000">
      <w:r>
        <w:rPr>
          <w:b/>
          <w:color w:val="1F3864"/>
          <w:sz w:val="30"/>
        </w:rPr>
        <w:t>4. Dependencies Required from Aurilo</w:t>
      </w:r>
    </w:p>
    <w:p w14:paraId="2706BD0C" w14:textId="77777777" w:rsidR="00967115" w:rsidRDefault="00000000">
      <w:pPr>
        <w:spacing w:after="120"/>
      </w:pPr>
      <w:r>
        <w:t>The items below are outside our control and directly determine whether the three-week pilot is achievable. We ask that all of them be initiated in Week 1 so that provisioning lead times run in parallel with our development.</w:t>
      </w:r>
    </w:p>
    <w:p w14:paraId="488F2C6E" w14:textId="77777777" w:rsidR="00967115" w:rsidRDefault="00000000">
      <w:pPr>
        <w:spacing w:before="200" w:after="60"/>
      </w:pPr>
      <w:r>
        <w:rPr>
          <w:b/>
          <w:color w:val="1F3864"/>
          <w:sz w:val="24"/>
        </w:rPr>
        <w:t>4.1 Blocking dependencies (pilot cannot complete without these)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1"/>
        <w:gridCol w:w="2827"/>
        <w:gridCol w:w="3788"/>
      </w:tblGrid>
      <w:tr w:rsidR="00967115" w14:paraId="4A8B211F" w14:textId="77777777">
        <w:trPr>
          <w:tblHeader/>
          <w:jc w:val="center"/>
        </w:trPr>
        <w:tc>
          <w:tcPr>
            <w:tcW w:w="2448" w:type="dxa"/>
            <w:shd w:val="clear" w:color="auto" w:fill="1F3864"/>
          </w:tcPr>
          <w:p w14:paraId="37A86535" w14:textId="77777777" w:rsidR="00967115" w:rsidRDefault="00000000">
            <w:r>
              <w:rPr>
                <w:b/>
                <w:color w:val="FFFFFF"/>
                <w:sz w:val="20"/>
              </w:rPr>
              <w:t>Dependency</w:t>
            </w:r>
          </w:p>
        </w:tc>
        <w:tc>
          <w:tcPr>
            <w:tcW w:w="3168" w:type="dxa"/>
            <w:shd w:val="clear" w:color="auto" w:fill="1F3864"/>
          </w:tcPr>
          <w:p w14:paraId="523F75A6" w14:textId="77777777" w:rsidR="00967115" w:rsidRDefault="00000000">
            <w:r>
              <w:rPr>
                <w:b/>
                <w:color w:val="FFFFFF"/>
                <w:sz w:val="20"/>
              </w:rPr>
              <w:t>Needed for</w:t>
            </w:r>
          </w:p>
        </w:tc>
        <w:tc>
          <w:tcPr>
            <w:tcW w:w="4320" w:type="dxa"/>
            <w:shd w:val="clear" w:color="auto" w:fill="1F3864"/>
          </w:tcPr>
          <w:p w14:paraId="67914183" w14:textId="77777777" w:rsidR="00967115" w:rsidRDefault="00000000">
            <w:r>
              <w:rPr>
                <w:b/>
                <w:color w:val="FFFFFF"/>
                <w:sz w:val="20"/>
              </w:rPr>
              <w:t>What we need from you</w:t>
            </w:r>
          </w:p>
        </w:tc>
      </w:tr>
      <w:tr w:rsidR="00967115" w14:paraId="0859194F" w14:textId="77777777">
        <w:trPr>
          <w:jc w:val="center"/>
        </w:trPr>
        <w:tc>
          <w:tcPr>
            <w:tcW w:w="2448" w:type="dxa"/>
          </w:tcPr>
          <w:p w14:paraId="568276A1" w14:textId="77777777" w:rsidR="00967115" w:rsidRDefault="00000000">
            <w:r>
              <w:rPr>
                <w:sz w:val="19"/>
              </w:rPr>
              <w:t>Internal LLM access</w:t>
            </w:r>
          </w:p>
        </w:tc>
        <w:tc>
          <w:tcPr>
            <w:tcW w:w="3168" w:type="dxa"/>
          </w:tcPr>
          <w:p w14:paraId="660DEC8E" w14:textId="77777777" w:rsidR="00967115" w:rsidRDefault="00000000">
            <w:r>
              <w:rPr>
                <w:sz w:val="19"/>
              </w:rPr>
              <w:t>Generating draft commentary (core of the pilot)</w:t>
            </w:r>
          </w:p>
        </w:tc>
        <w:tc>
          <w:tcPr>
            <w:tcW w:w="4320" w:type="dxa"/>
          </w:tcPr>
          <w:p w14:paraId="3F38FD45" w14:textId="77777777" w:rsidR="00967115" w:rsidRDefault="00000000">
            <w:r>
              <w:rPr>
                <w:sz w:val="19"/>
              </w:rPr>
              <w:t>Endpoint + credentials; which model; API type (Azure OpenAI / OpenAI-compatible / internal proxy); rate &amp; quota limits; data-handling policy.</w:t>
            </w:r>
          </w:p>
        </w:tc>
      </w:tr>
      <w:tr w:rsidR="00967115" w14:paraId="06781228" w14:textId="77777777">
        <w:trPr>
          <w:jc w:val="center"/>
        </w:trPr>
        <w:tc>
          <w:tcPr>
            <w:tcW w:w="2448" w:type="dxa"/>
            <w:shd w:val="clear" w:color="auto" w:fill="EEF1F7"/>
          </w:tcPr>
          <w:p w14:paraId="5D2CABFC" w14:textId="77777777" w:rsidR="00967115" w:rsidRDefault="00000000">
            <w:r>
              <w:rPr>
                <w:sz w:val="19"/>
              </w:rPr>
              <w:t>Microsoft Teams bot</w:t>
            </w:r>
          </w:p>
        </w:tc>
        <w:tc>
          <w:tcPr>
            <w:tcW w:w="3168" w:type="dxa"/>
            <w:shd w:val="clear" w:color="auto" w:fill="EEF1F7"/>
          </w:tcPr>
          <w:p w14:paraId="15CEDCE8" w14:textId="77777777" w:rsidR="00967115" w:rsidRDefault="00000000">
            <w:r>
              <w:rPr>
                <w:sz w:val="19"/>
              </w:rPr>
              <w:t>MVP §15.4 — sending questions &amp; reminders</w:t>
            </w:r>
          </w:p>
        </w:tc>
        <w:tc>
          <w:tcPr>
            <w:tcW w:w="4320" w:type="dxa"/>
            <w:shd w:val="clear" w:color="auto" w:fill="EEF1F7"/>
          </w:tcPr>
          <w:p w14:paraId="3BFD7B83" w14:textId="77777777" w:rsidR="00967115" w:rsidRDefault="00000000">
            <w:r>
              <w:rPr>
                <w:sz w:val="19"/>
              </w:rPr>
              <w:t>Bot / app registration and permissions to send and receive messages.</w:t>
            </w:r>
          </w:p>
        </w:tc>
      </w:tr>
      <w:tr w:rsidR="00967115" w14:paraId="32B0A0F3" w14:textId="77777777">
        <w:trPr>
          <w:jc w:val="center"/>
        </w:trPr>
        <w:tc>
          <w:tcPr>
            <w:tcW w:w="2448" w:type="dxa"/>
          </w:tcPr>
          <w:p w14:paraId="475D3989" w14:textId="77777777" w:rsidR="00967115" w:rsidRDefault="00000000">
            <w:r>
              <w:rPr>
                <w:sz w:val="19"/>
              </w:rPr>
              <w:t>Owner mapping + KB store</w:t>
            </w:r>
          </w:p>
        </w:tc>
        <w:tc>
          <w:tcPr>
            <w:tcW w:w="3168" w:type="dxa"/>
          </w:tcPr>
          <w:p w14:paraId="5E750EAA" w14:textId="77777777" w:rsidR="00967115" w:rsidRDefault="00000000">
            <w:r>
              <w:rPr>
                <w:sz w:val="19"/>
              </w:rPr>
              <w:t>MVP §15.5 — who to ask, and where to store answers</w:t>
            </w:r>
          </w:p>
        </w:tc>
        <w:tc>
          <w:tcPr>
            <w:tcW w:w="4320" w:type="dxa"/>
          </w:tcPr>
          <w:p w14:paraId="4BC07E0D" w14:textId="77777777" w:rsidR="00967115" w:rsidRDefault="00000000">
            <w:r>
              <w:rPr>
                <w:sz w:val="19"/>
              </w:rPr>
              <w:t>A mapping of P&amp;L responsibility to named people (with Teams/email IDs), and a provisioned SharePoint List or Dataverse table with write access.</w:t>
            </w:r>
          </w:p>
        </w:tc>
      </w:tr>
    </w:tbl>
    <w:p w14:paraId="3D1B5727" w14:textId="77777777" w:rsidR="00967115" w:rsidRDefault="00000000">
      <w:pPr>
        <w:spacing w:before="200" w:after="60"/>
      </w:pPr>
      <w:r>
        <w:rPr>
          <w:b/>
          <w:color w:val="1F3864"/>
          <w:sz w:val="24"/>
        </w:rPr>
        <w:t>4.2 Business decisions required from the client</w:t>
      </w:r>
    </w:p>
    <w:p w14:paraId="5CEB5AF1" w14:textId="77777777" w:rsidR="00967115" w:rsidRDefault="00000000">
      <w:pPr>
        <w:pStyle w:val="ListBullet"/>
      </w:pPr>
      <w:r>
        <w:rPr>
          <w:b/>
        </w:rPr>
        <w:t xml:space="preserve">Materiality threshold - CONFIRMED by the brief (Section 9): </w:t>
      </w:r>
      <w:r>
        <w:t xml:space="preserve"> the pilot uses the brief's Example Variance Detection Rules - absolute P&amp;L variance &gt; EUR25k and variance percentage &gt; 10%, plus the per-line rules (gross margin &gt; EUR10k, expense &gt; EUR10k, EBITA &gt; EUR20k). Customer-revenue (&gt; EUR15k) and recurring-variance rules are dimensional / history-based and move to Phase 2. This supersedes the 2% figure noted in the 7 Jul meeting.</w:t>
      </w:r>
    </w:p>
    <w:p w14:paraId="4C0CBF58" w14:textId="77777777" w:rsidR="00967115" w:rsidRDefault="00000000">
      <w:pPr>
        <w:pStyle w:val="ListBullet"/>
      </w:pPr>
      <w:r>
        <w:rPr>
          <w:b/>
        </w:rPr>
        <w:t xml:space="preserve">Baseline - CONFIRMED (Actuals+FC): </w:t>
      </w:r>
      <w:r>
        <w:t xml:space="preserve"> the primary comparison is Current Forecast (Actuals+FC) vs Previous Forecast, i.e. how management expectations shifted over the past month. The Actuals+FC column meaning is confirmed.</w:t>
      </w:r>
    </w:p>
    <w:p w14:paraId="4C0CBF58" w14:textId="77777777" w:rsidR="00967115" w:rsidRDefault="00000000">
      <w:pPr>
        <w:pStyle w:val="ListBullet"/>
      </w:pPr>
      <w:r>
        <w:rPr>
          <w:b/>
        </w:rPr>
        <w:t xml:space="preserve">Previous Forecast column - ASSUMPTION (~80% confidence), please verify: </w:t>
      </w:r>
      <w:r>
        <w:t xml:space="preserve"> we understand Previous Forecast as the same actuals for closed months but carrying last month's forecast for the future months. We are ~80% sure of this and are building the pilot on it, but ask Aurilo to confirm the Previous Forecast column before it is locked. (Actuals+FC is already confirmed - see above.)</w:t>
      </w:r>
    </w:p>
    <w:p w14:paraId="20156D1C" w14:textId="77777777" w:rsidR="00967115" w:rsidRDefault="00000000">
      <w:pPr>
        <w:pStyle w:val="ListBullet"/>
      </w:pPr>
      <w:r>
        <w:rPr>
          <w:b/>
        </w:rPr>
        <w:t xml:space="preserve">Finance reviewer: </w:t>
      </w:r>
      <w:r>
        <w:t xml:space="preserve"> who reviews and approves the draft comments before reporting use.</w:t>
      </w:r>
    </w:p>
    <w:p w14:paraId="7107925A" w14:textId="77777777" w:rsidR="00967115" w:rsidRDefault="00000000">
      <w:pPr>
        <w:pStyle w:val="ListBullet"/>
      </w:pPr>
      <w:r>
        <w:rPr>
          <w:b/>
        </w:rPr>
        <w:t xml:space="preserve">Data refresh: </w:t>
      </w:r>
      <w:r>
        <w:t xml:space="preserve"> who exports the ITDS file each month, when, and to which location.</w:t>
      </w:r>
    </w:p>
    <w:p w14:paraId="4A8675F7" w14:textId="77777777" w:rsidR="00967115" w:rsidRDefault="00000000">
      <w:pPr>
        <w:spacing w:before="200" w:after="60"/>
      </w:pPr>
      <w:r>
        <w:rPr>
          <w:b/>
          <w:color w:val="1F3864"/>
          <w:sz w:val="24"/>
        </w:rPr>
        <w:t>4.3 Supporting data (for later phases / robustness)</w:t>
      </w:r>
    </w:p>
    <w:p w14:paraId="23685488" w14:textId="77777777" w:rsidR="00967115" w:rsidRDefault="00000000">
      <w:pPr>
        <w:pStyle w:val="ListBullet"/>
      </w:pPr>
      <w:r>
        <w:t xml:space="preserve"> continuous, closed monthly actuals for prior periods (for recurring-variance detection).</w:t>
      </w:r>
    </w:p>
    <w:p w14:paraId="747FAA0A" w14:textId="77777777" w:rsidR="00967115" w:rsidRDefault="00000000">
      <w:pPr>
        <w:pStyle w:val="ListBullet"/>
      </w:pPr>
      <w:r>
        <w:t xml:space="preserve"> a documented list of known timing / accounting issues to exclude.</w:t>
      </w:r>
    </w:p>
    <w:p w14:paraId="60AB2A28" w14:textId="77777777" w:rsidR="00967115" w:rsidRDefault="00000000">
      <w:pPr>
        <w:pStyle w:val="ListBullet"/>
      </w:pPr>
      <w:r>
        <w:t xml:space="preserve"> monthly (not only quarterly) customer / service revenue if dimensional analysis is later required.</w:t>
      </w:r>
    </w:p>
    <w:p w14:paraId="217D295C" w14:textId="77777777" w:rsidR="00967115" w:rsidRDefault="00000000">
      <w:r>
        <w:rPr>
          <w:b/>
          <w:color w:val="1F3864"/>
          <w:sz w:val="30"/>
        </w:rPr>
        <w:t>5. Indicative Three-Week Plan (ITDS Pilot)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4"/>
        <w:gridCol w:w="4138"/>
        <w:gridCol w:w="3884"/>
      </w:tblGrid>
      <w:tr w:rsidR="00967115" w14:paraId="5E1B510E" w14:textId="77777777">
        <w:trPr>
          <w:tblHeader/>
          <w:jc w:val="center"/>
        </w:trPr>
        <w:tc>
          <w:tcPr>
            <w:tcW w:w="864" w:type="dxa"/>
            <w:shd w:val="clear" w:color="auto" w:fill="1F3864"/>
          </w:tcPr>
          <w:p w14:paraId="59A86651" w14:textId="77777777" w:rsidR="00967115" w:rsidRDefault="00000000">
            <w:r>
              <w:rPr>
                <w:b/>
                <w:color w:val="FFFFFF"/>
                <w:sz w:val="20"/>
              </w:rPr>
              <w:lastRenderedPageBreak/>
              <w:t>Week</w:t>
            </w:r>
          </w:p>
        </w:tc>
        <w:tc>
          <w:tcPr>
            <w:tcW w:w="4752" w:type="dxa"/>
            <w:shd w:val="clear" w:color="auto" w:fill="1F3864"/>
          </w:tcPr>
          <w:p w14:paraId="2C6A1E99" w14:textId="77777777" w:rsidR="00967115" w:rsidRDefault="00000000"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w="4464" w:type="dxa"/>
            <w:shd w:val="clear" w:color="auto" w:fill="1F3864"/>
          </w:tcPr>
          <w:p w14:paraId="7E24A001" w14:textId="77777777" w:rsidR="00967115" w:rsidRDefault="00000000">
            <w:r>
              <w:rPr>
                <w:b/>
                <w:color w:val="FFFFFF"/>
                <w:sz w:val="20"/>
              </w:rPr>
              <w:t>Outcome</w:t>
            </w:r>
          </w:p>
        </w:tc>
      </w:tr>
      <w:tr w:rsidR="00967115" w14:paraId="43DF59F0" w14:textId="77777777">
        <w:trPr>
          <w:jc w:val="center"/>
        </w:trPr>
        <w:tc>
          <w:tcPr>
            <w:tcW w:w="864" w:type="dxa"/>
          </w:tcPr>
          <w:p w14:paraId="59016851" w14:textId="77777777" w:rsidR="00967115" w:rsidRDefault="00000000">
            <w:r>
              <w:rPr>
                <w:sz w:val="19"/>
              </w:rPr>
              <w:t>1</w:t>
            </w:r>
          </w:p>
        </w:tc>
        <w:tc>
          <w:tcPr>
            <w:tcW w:w="4752" w:type="dxa"/>
          </w:tcPr>
          <w:p w14:paraId="260BCA49" w14:textId="77777777" w:rsidR="00967115" w:rsidRDefault="00000000">
            <w:r>
              <w:rPr>
                <w:sz w:val="19"/>
              </w:rPr>
              <w:t>ITDS ingestion + validation layer; request all dependencies; agree thresholds</w:t>
            </w:r>
          </w:p>
        </w:tc>
        <w:tc>
          <w:tcPr>
            <w:tcW w:w="4464" w:type="dxa"/>
          </w:tcPr>
          <w:p w14:paraId="2D5C2AB6" w14:textId="77777777" w:rsidR="00967115" w:rsidRDefault="00000000">
            <w:r>
              <w:rPr>
                <w:sz w:val="19"/>
              </w:rPr>
              <w:t>Normalised ITDS dataset (actual vs forecast) with full cell-level audit trail.</w:t>
            </w:r>
          </w:p>
        </w:tc>
      </w:tr>
      <w:tr w:rsidR="00967115" w14:paraId="5602D63C" w14:textId="77777777">
        <w:trPr>
          <w:jc w:val="center"/>
        </w:trPr>
        <w:tc>
          <w:tcPr>
            <w:tcW w:w="864" w:type="dxa"/>
            <w:shd w:val="clear" w:color="auto" w:fill="EEF1F7"/>
          </w:tcPr>
          <w:p w14:paraId="6A8A3383" w14:textId="77777777" w:rsidR="00967115" w:rsidRDefault="00000000">
            <w:r>
              <w:rPr>
                <w:sz w:val="19"/>
              </w:rPr>
              <w:t>2</w:t>
            </w:r>
          </w:p>
        </w:tc>
        <w:tc>
          <w:tcPr>
            <w:tcW w:w="4752" w:type="dxa"/>
            <w:shd w:val="clear" w:color="auto" w:fill="EEF1F7"/>
          </w:tcPr>
          <w:p w14:paraId="52E714EF" w14:textId="77777777" w:rsidR="00967115" w:rsidRDefault="00000000">
            <w:r>
              <w:rPr>
                <w:sz w:val="19"/>
              </w:rPr>
              <w:t>Variance engine + configurable materiality flagging; begin Teams / KB integration if access granted</w:t>
            </w:r>
          </w:p>
        </w:tc>
        <w:tc>
          <w:tcPr>
            <w:tcW w:w="4464" w:type="dxa"/>
            <w:shd w:val="clear" w:color="auto" w:fill="EEF1F7"/>
          </w:tcPr>
          <w:p w14:paraId="061B07B1" w14:textId="77777777" w:rsidR="00967115" w:rsidRDefault="00000000">
            <w:r>
              <w:rPr>
                <w:sz w:val="19"/>
              </w:rPr>
              <w:t>Reproducible variance output for ITDS with flagged material lines.</w:t>
            </w:r>
          </w:p>
        </w:tc>
      </w:tr>
      <w:tr w:rsidR="00967115" w14:paraId="22870B37" w14:textId="77777777">
        <w:trPr>
          <w:jc w:val="center"/>
        </w:trPr>
        <w:tc>
          <w:tcPr>
            <w:tcW w:w="864" w:type="dxa"/>
          </w:tcPr>
          <w:p w14:paraId="45E199D5" w14:textId="77777777" w:rsidR="00967115" w:rsidRDefault="00000000">
            <w:r>
              <w:rPr>
                <w:sz w:val="19"/>
              </w:rPr>
              <w:t>3</w:t>
            </w:r>
          </w:p>
        </w:tc>
        <w:tc>
          <w:tcPr>
            <w:tcW w:w="4752" w:type="dxa"/>
          </w:tcPr>
          <w:p w14:paraId="7AD758A4" w14:textId="77777777" w:rsidR="00967115" w:rsidRDefault="00000000">
            <w:r>
              <w:rPr>
                <w:sz w:val="19"/>
              </w:rPr>
              <w:t>Draft commentary via LLM; connect Aurilo LLM; end-to-end demo</w:t>
            </w:r>
          </w:p>
        </w:tc>
        <w:tc>
          <w:tcPr>
            <w:tcW w:w="4464" w:type="dxa"/>
          </w:tcPr>
          <w:p w14:paraId="32708ABC" w14:textId="77777777" w:rsidR="00967115" w:rsidRDefault="00000000">
            <w:r>
              <w:rPr>
                <w:sz w:val="19"/>
              </w:rPr>
              <w:t>Working demo: material variances detected and draft executive commentary generated for Finance review.</w:t>
            </w:r>
          </w:p>
        </w:tc>
      </w:tr>
    </w:tbl>
    <w:p w14:paraId="31C60A4F" w14:textId="77777777" w:rsidR="00967115" w:rsidRDefault="00967115"/>
    <w:p w14:paraId="15863D90" w14:textId="77777777" w:rsidR="00967115" w:rsidRDefault="00000000">
      <w:r>
        <w:rPr>
          <w:i/>
          <w:color w:val="B02A2A"/>
          <w:sz w:val="19"/>
        </w:rPr>
        <w:t>Note: the timeline assumes the blocking dependencies in Section 4.1 are provided early in Week 1. Delay in any of them — most commonly LLM access and Teams bot approval — will move the corresponding pilot capability into a later phase.</w:t>
      </w:r>
    </w:p>
    <w:p w14:paraId="59F46E04" w14:textId="77777777" w:rsidR="00967115" w:rsidRDefault="00000000">
      <w:r>
        <w:rPr>
          <w:b/>
          <w:color w:val="1F3864"/>
          <w:sz w:val="30"/>
        </w:rPr>
        <w:t>6. Requested Next Steps</w:t>
      </w:r>
    </w:p>
    <w:p w14:paraId="112D6BD8" w14:textId="77777777" w:rsidR="00967115" w:rsidRDefault="00000000">
      <w:pPr>
        <w:pStyle w:val="ListBullet"/>
      </w:pPr>
      <w:r>
        <w:rPr>
          <w:b/>
        </w:rPr>
        <w:t xml:space="preserve">Confirm: </w:t>
      </w:r>
      <w:r>
        <w:t xml:space="preserve"> the ITDS Minimum Viable Pilot scope described above.</w:t>
      </w:r>
    </w:p>
    <w:p w14:paraId="168EEF86" w14:textId="77777777" w:rsidR="00967115" w:rsidRDefault="00000000">
      <w:pPr>
        <w:pStyle w:val="ListBullet"/>
      </w:pPr>
      <w:r>
        <w:rPr>
          <w:b/>
        </w:rPr>
        <w:t xml:space="preserve">Provision: </w:t>
      </w:r>
      <w:r>
        <w:t xml:space="preserve"> provision the three blocking dependencies (Section 4.1) in Week 1.</w:t>
      </w:r>
    </w:p>
    <w:p w14:paraId="0487A80C" w14:textId="77777777" w:rsidR="00967115" w:rsidRDefault="00000000">
      <w:pPr>
        <w:pStyle w:val="ListBullet"/>
      </w:pPr>
      <w:r>
        <w:rPr>
          <w:b/>
        </w:rPr>
        <w:t xml:space="preserve">Confirm: </w:t>
      </w:r>
      <w:r>
        <w:t xml:space="preserve"> the Previous Forecast column reading (Section 4.2, ~80% confidence) and name the Finance reviewer.</w:t>
      </w:r>
    </w:p>
    <w:p w14:paraId="634688F5" w14:textId="77777777" w:rsidR="00967115" w:rsidRDefault="00000000">
      <w:pPr>
        <w:pStyle w:val="ListBullet"/>
      </w:pPr>
      <w:r>
        <w:rPr>
          <w:b/>
        </w:rPr>
        <w:t xml:space="preserve">Agree: </w:t>
      </w:r>
      <w:r>
        <w:t xml:space="preserve"> the remaining brief requirements (MS, Group, validation gate, governance) as a Phase 2.</w:t>
      </w:r>
    </w:p>
    <w:p w14:paraId="24010C7A" w14:textId="77777777" w:rsidR="00967115" w:rsidRDefault="00967115"/>
    <w:p w14:paraId="57486642" w14:textId="77777777" w:rsidR="00967115" w:rsidRDefault="00000000">
      <w:r>
        <w:rPr>
          <w:i/>
          <w:color w:val="555555"/>
          <w:sz w:val="18"/>
        </w:rPr>
        <w:t>This document is a scope and dependency response intended to align expectations before the pilot begins. Final implementation will confirm data sources, permissions, approval rules and integration architecture, as noted in the brief.</w:t>
      </w:r>
    </w:p>
    <w:sectPr w:rsidR="009671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505438">
    <w:abstractNumId w:val="8"/>
  </w:num>
  <w:num w:numId="2" w16cid:durableId="1830360536">
    <w:abstractNumId w:val="6"/>
  </w:num>
  <w:num w:numId="3" w16cid:durableId="1643845251">
    <w:abstractNumId w:val="5"/>
  </w:num>
  <w:num w:numId="4" w16cid:durableId="533689481">
    <w:abstractNumId w:val="4"/>
  </w:num>
  <w:num w:numId="5" w16cid:durableId="1318605387">
    <w:abstractNumId w:val="7"/>
  </w:num>
  <w:num w:numId="6" w16cid:durableId="2075203111">
    <w:abstractNumId w:val="3"/>
  </w:num>
  <w:num w:numId="7" w16cid:durableId="2051102170">
    <w:abstractNumId w:val="2"/>
  </w:num>
  <w:num w:numId="8" w16cid:durableId="1167475248">
    <w:abstractNumId w:val="1"/>
  </w:num>
  <w:num w:numId="9" w16cid:durableId="134096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616"/>
    <w:rsid w:val="00326F90"/>
    <w:rsid w:val="00967115"/>
    <w:rsid w:val="00AA1D8D"/>
    <w:rsid w:val="00B47730"/>
    <w:rsid w:val="00C329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96E75"/>
  <w14:defaultImageDpi w14:val="300"/>
  <w15:docId w15:val="{BBC22A25-2C98-499E-A784-083E04E5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Thinh Gia Bui</cp:lastModifiedBy>
  <cp:revision>2</cp:revision>
  <dcterms:created xsi:type="dcterms:W3CDTF">2013-12-23T23:15:00Z</dcterms:created>
  <dcterms:modified xsi:type="dcterms:W3CDTF">2026-07-08T14:42:00Z</dcterms:modified>
  <cp:category/>
</cp:coreProperties>
</file>