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C6C96">
      <w:pPr>
        <w:spacing w:line="560" w:lineRule="exact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附件1</w:t>
      </w:r>
    </w:p>
    <w:p w14:paraId="1CF23227">
      <w:pPr>
        <w:spacing w:before="156" w:beforeLines="50" w:after="468" w:afterLines="150" w:line="560" w:lineRule="exact"/>
        <w:jc w:val="center"/>
        <w:rPr>
          <w:rFonts w:eastAsia="方正小标宋简体"/>
          <w:bCs/>
          <w:sz w:val="42"/>
          <w:szCs w:val="44"/>
        </w:rPr>
      </w:pPr>
      <w:r>
        <w:rPr>
          <w:rFonts w:eastAsia="方正小标宋简体"/>
          <w:bCs/>
          <w:sz w:val="42"/>
          <w:szCs w:val="44"/>
        </w:rPr>
        <w:t>农民工工资保证金存储通知书（样本）</w:t>
      </w:r>
    </w:p>
    <w:tbl>
      <w:tblPr>
        <w:tblStyle w:val="3"/>
        <w:tblW w:w="932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998"/>
        <w:gridCol w:w="650"/>
        <w:gridCol w:w="2879"/>
        <w:gridCol w:w="1151"/>
        <w:gridCol w:w="2819"/>
      </w:tblGrid>
      <w:tr w14:paraId="1FFD9A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9320" w:type="dxa"/>
            <w:gridSpan w:val="6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0CFD7B0">
            <w:pPr>
              <w:widowControl/>
              <w:jc w:val="center"/>
              <w:textAlignment w:val="center"/>
              <w:rPr>
                <w:rFonts w:eastAsia="黑体"/>
                <w:kern w:val="0"/>
                <w:szCs w:val="21"/>
              </w:rPr>
            </w:pPr>
            <w:r>
              <w:rPr>
                <w:rFonts w:eastAsia="黑体"/>
                <w:bCs/>
                <w:kern w:val="0"/>
                <w:szCs w:val="21"/>
              </w:rPr>
              <w:t>以下由工资保证金存储单位填写</w:t>
            </w:r>
          </w:p>
        </w:tc>
      </w:tr>
      <w:tr w14:paraId="686FE5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823" w:type="dxa"/>
            <w:vMerge w:val="restart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19568E4">
            <w:pPr>
              <w:widowControl/>
              <w:spacing w:line="420" w:lineRule="exact"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施工</w:t>
            </w:r>
          </w:p>
          <w:p w14:paraId="720DD31C">
            <w:pPr>
              <w:widowControl/>
              <w:spacing w:line="420" w:lineRule="exact"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总承包单位</w:t>
            </w:r>
          </w:p>
        </w:tc>
        <w:tc>
          <w:tcPr>
            <w:tcW w:w="1648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E05255D">
            <w:pPr>
              <w:widowControl/>
              <w:jc w:val="center"/>
              <w:textAlignment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企业名称</w:t>
            </w:r>
          </w:p>
        </w:tc>
        <w:tc>
          <w:tcPr>
            <w:tcW w:w="6849" w:type="dxa"/>
            <w:gridSpan w:val="3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BAF2C08">
            <w:pPr>
              <w:jc w:val="center"/>
              <w:rPr>
                <w:rFonts w:hint="default" w:eastAsia="仿宋_GB2312"/>
                <w:bCs/>
                <w:szCs w:val="21"/>
                <w:lang w:val="en-US"/>
              </w:rPr>
            </w:pP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{{name}}</w:t>
            </w:r>
          </w:p>
        </w:tc>
      </w:tr>
      <w:tr w14:paraId="243B0D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823" w:type="dxa"/>
            <w:vMerge w:val="continue"/>
            <w:noWrap w:val="0"/>
            <w:vAlign w:val="center"/>
          </w:tcPr>
          <w:p w14:paraId="778AFA38">
            <w:pPr>
              <w:widowControl/>
              <w:spacing w:line="420" w:lineRule="exact"/>
              <w:jc w:val="left"/>
              <w:rPr>
                <w:rFonts w:eastAsia="仿宋_GB2312"/>
                <w:bCs/>
                <w:kern w:val="0"/>
                <w:szCs w:val="21"/>
              </w:rPr>
            </w:pPr>
          </w:p>
        </w:tc>
        <w:tc>
          <w:tcPr>
            <w:tcW w:w="1648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7315E3E5">
            <w:pPr>
              <w:widowControl/>
              <w:jc w:val="center"/>
              <w:textAlignment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项目名称</w:t>
            </w:r>
          </w:p>
        </w:tc>
        <w:tc>
          <w:tcPr>
            <w:tcW w:w="2879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0D7CF4B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eastAsia="仿宋_GB2312"/>
                <w:bCs/>
                <w:szCs w:val="21"/>
              </w:rPr>
            </w:pPr>
          </w:p>
        </w:tc>
        <w:tc>
          <w:tcPr>
            <w:tcW w:w="1151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656ED20">
            <w:pPr>
              <w:widowControl/>
              <w:jc w:val="center"/>
              <w:textAlignment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项目地址</w:t>
            </w:r>
          </w:p>
        </w:tc>
        <w:tc>
          <w:tcPr>
            <w:tcW w:w="2819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AF4A1B8">
            <w:pPr>
              <w:jc w:val="center"/>
              <w:rPr>
                <w:rFonts w:eastAsia="仿宋_GB2312"/>
                <w:bCs/>
                <w:szCs w:val="21"/>
              </w:rPr>
            </w:pPr>
          </w:p>
        </w:tc>
      </w:tr>
      <w:tr w14:paraId="53F0EB0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823" w:type="dxa"/>
            <w:vMerge w:val="continue"/>
            <w:noWrap w:val="0"/>
            <w:vAlign w:val="center"/>
          </w:tcPr>
          <w:p w14:paraId="6DDA16AF">
            <w:pPr>
              <w:widowControl/>
              <w:spacing w:line="420" w:lineRule="exact"/>
              <w:jc w:val="left"/>
              <w:rPr>
                <w:rFonts w:eastAsia="仿宋_GB2312"/>
                <w:bCs/>
                <w:kern w:val="0"/>
                <w:szCs w:val="21"/>
              </w:rPr>
            </w:pPr>
          </w:p>
        </w:tc>
        <w:tc>
          <w:tcPr>
            <w:tcW w:w="1648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3279BA1">
            <w:pPr>
              <w:widowControl/>
              <w:jc w:val="center"/>
              <w:textAlignment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合同</w:t>
            </w:r>
            <w:r>
              <w:rPr>
                <w:rFonts w:hint="eastAsia" w:eastAsia="仿宋_GB2312"/>
                <w:bCs/>
                <w:szCs w:val="21"/>
              </w:rPr>
              <w:t>金</w:t>
            </w:r>
            <w:r>
              <w:rPr>
                <w:rFonts w:eastAsia="仿宋_GB2312"/>
                <w:bCs/>
                <w:szCs w:val="21"/>
              </w:rPr>
              <w:t>额</w:t>
            </w:r>
            <w:r>
              <w:rPr>
                <w:rFonts w:hint="eastAsia" w:eastAsia="仿宋_GB2312"/>
                <w:bCs/>
                <w:szCs w:val="21"/>
              </w:rPr>
              <w:t>（万元）</w:t>
            </w:r>
          </w:p>
        </w:tc>
        <w:tc>
          <w:tcPr>
            <w:tcW w:w="2879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0DB2A7B">
            <w:pPr>
              <w:jc w:val="center"/>
              <w:rPr>
                <w:rFonts w:eastAsia="仿宋_GB2312"/>
                <w:bCs/>
                <w:szCs w:val="21"/>
              </w:rPr>
            </w:pPr>
          </w:p>
        </w:tc>
        <w:tc>
          <w:tcPr>
            <w:tcW w:w="1151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CF8CF59">
            <w:pPr>
              <w:jc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合同期</w:t>
            </w:r>
            <w:r>
              <w:rPr>
                <w:rFonts w:hint="eastAsia" w:eastAsia="仿宋_GB2312"/>
                <w:bCs/>
                <w:kern w:val="0"/>
                <w:szCs w:val="21"/>
              </w:rPr>
              <w:t>限</w:t>
            </w:r>
          </w:p>
        </w:tc>
        <w:tc>
          <w:tcPr>
            <w:tcW w:w="2819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989F9AE">
            <w:pPr>
              <w:jc w:val="center"/>
              <w:rPr>
                <w:rFonts w:eastAsia="仿宋_GB2312"/>
                <w:bCs/>
                <w:szCs w:val="21"/>
              </w:rPr>
            </w:pPr>
          </w:p>
        </w:tc>
      </w:tr>
      <w:tr w14:paraId="242732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823" w:type="dxa"/>
            <w:vMerge w:val="continue"/>
            <w:noWrap w:val="0"/>
            <w:vAlign w:val="center"/>
          </w:tcPr>
          <w:p w14:paraId="4E60070E">
            <w:pPr>
              <w:widowControl/>
              <w:spacing w:line="420" w:lineRule="exact"/>
              <w:jc w:val="left"/>
              <w:rPr>
                <w:rFonts w:eastAsia="仿宋_GB2312"/>
                <w:bCs/>
                <w:kern w:val="0"/>
                <w:szCs w:val="21"/>
              </w:rPr>
            </w:pPr>
          </w:p>
        </w:tc>
        <w:tc>
          <w:tcPr>
            <w:tcW w:w="1648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AC655C5">
            <w:pPr>
              <w:widowControl/>
              <w:jc w:val="center"/>
              <w:textAlignment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项目负责人</w:t>
            </w:r>
          </w:p>
        </w:tc>
        <w:tc>
          <w:tcPr>
            <w:tcW w:w="2879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CBEA765">
            <w:pPr>
              <w:jc w:val="center"/>
              <w:rPr>
                <w:rFonts w:eastAsia="仿宋_GB2312"/>
                <w:bCs/>
                <w:szCs w:val="21"/>
              </w:rPr>
            </w:pPr>
          </w:p>
        </w:tc>
        <w:tc>
          <w:tcPr>
            <w:tcW w:w="1151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48C8EEC">
            <w:pPr>
              <w:widowControl/>
              <w:jc w:val="center"/>
              <w:textAlignment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联系电话</w:t>
            </w:r>
          </w:p>
        </w:tc>
        <w:tc>
          <w:tcPr>
            <w:tcW w:w="2819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26068D5">
            <w:pPr>
              <w:jc w:val="center"/>
              <w:rPr>
                <w:rFonts w:eastAsia="仿宋_GB2312"/>
                <w:bCs/>
                <w:szCs w:val="21"/>
              </w:rPr>
            </w:pPr>
          </w:p>
        </w:tc>
      </w:tr>
      <w:tr w14:paraId="5B6C83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823" w:type="dxa"/>
            <w:vMerge w:val="continue"/>
            <w:noWrap w:val="0"/>
            <w:vAlign w:val="center"/>
          </w:tcPr>
          <w:p w14:paraId="4BF9CEB4">
            <w:pPr>
              <w:widowControl/>
              <w:spacing w:line="420" w:lineRule="exact"/>
              <w:jc w:val="left"/>
              <w:rPr>
                <w:rFonts w:eastAsia="仿宋_GB2312"/>
                <w:bCs/>
                <w:kern w:val="0"/>
                <w:szCs w:val="21"/>
              </w:rPr>
            </w:pPr>
          </w:p>
        </w:tc>
        <w:tc>
          <w:tcPr>
            <w:tcW w:w="1648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2E2E8401">
            <w:pPr>
              <w:widowControl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申请存储比例</w:t>
            </w:r>
          </w:p>
        </w:tc>
        <w:tc>
          <w:tcPr>
            <w:tcW w:w="6849" w:type="dxa"/>
            <w:gridSpan w:val="3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404D59DC">
            <w:pPr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{{proportions==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免缴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?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☑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: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□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}}</w:t>
            </w:r>
            <w:r>
              <w:rPr>
                <w:rFonts w:eastAsia="仿宋_GB2312"/>
                <w:bCs/>
                <w:szCs w:val="21"/>
              </w:rPr>
              <w:t xml:space="preserve">免缴  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{{proportions==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1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?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☑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: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□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}}</w:t>
            </w:r>
            <w:r>
              <w:rPr>
                <w:rFonts w:eastAsia="仿宋_GB2312"/>
                <w:bCs/>
                <w:szCs w:val="21"/>
              </w:rPr>
              <w:t xml:space="preserve">1%  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{{proportions==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2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?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☑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: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□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}}</w:t>
            </w:r>
            <w:r>
              <w:rPr>
                <w:rFonts w:eastAsia="仿宋_GB2312"/>
                <w:bCs/>
                <w:szCs w:val="21"/>
              </w:rPr>
              <w:t xml:space="preserve">2%  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{{proportions==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3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?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☑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: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□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}}</w:t>
            </w:r>
            <w:r>
              <w:rPr>
                <w:rFonts w:eastAsia="仿宋_GB2312"/>
                <w:bCs/>
                <w:szCs w:val="21"/>
              </w:rPr>
              <w:t xml:space="preserve">3%  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{{proportions==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?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☑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: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ascii="宋体" w:hAnsi="宋体"/>
                <w:kern w:val="0"/>
                <w:sz w:val="22"/>
                <w:lang w:eastAsia="zh-CN"/>
              </w:rPr>
              <w:t>□</w:t>
            </w:r>
            <w:r>
              <w:rPr>
                <w:rFonts w:hint="default" w:eastAsia="仿宋_GB2312"/>
                <w:b w:val="0"/>
                <w:bCs/>
                <w:szCs w:val="21"/>
                <w:lang w:val="en-US" w:eastAsia="zh-CN"/>
              </w:rPr>
              <w:t>'</w:t>
            </w:r>
            <w:r>
              <w:rPr>
                <w:rFonts w:hint="eastAsia" w:eastAsia="仿宋_GB2312"/>
                <w:b w:val="0"/>
                <w:bCs/>
                <w:szCs w:val="21"/>
                <w:lang w:val="en-US" w:eastAsia="zh-CN"/>
              </w:rPr>
              <w:t>}}</w:t>
            </w:r>
            <w:r>
              <w:rPr>
                <w:rFonts w:eastAsia="仿宋_GB2312"/>
                <w:bCs/>
                <w:szCs w:val="21"/>
              </w:rPr>
              <w:t>4%</w:t>
            </w:r>
          </w:p>
        </w:tc>
      </w:tr>
      <w:tr w14:paraId="727FBC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823" w:type="dxa"/>
            <w:vMerge w:val="continue"/>
            <w:noWrap w:val="0"/>
            <w:vAlign w:val="center"/>
          </w:tcPr>
          <w:p w14:paraId="1BBB0D7F">
            <w:pPr>
              <w:widowControl/>
              <w:spacing w:line="420" w:lineRule="exact"/>
              <w:jc w:val="left"/>
              <w:rPr>
                <w:rFonts w:eastAsia="仿宋_GB2312"/>
                <w:bCs/>
                <w:kern w:val="0"/>
                <w:szCs w:val="21"/>
              </w:rPr>
            </w:pPr>
          </w:p>
        </w:tc>
        <w:tc>
          <w:tcPr>
            <w:tcW w:w="1648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8B3D977">
            <w:pPr>
              <w:widowControl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申请存储方式</w:t>
            </w:r>
          </w:p>
        </w:tc>
        <w:tc>
          <w:tcPr>
            <w:tcW w:w="6849" w:type="dxa"/>
            <w:gridSpan w:val="3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FA43D1F">
            <w:pPr>
              <w:ind w:right="105" w:rightChars="50" w:firstLine="220" w:firstLineChars="100"/>
              <w:rPr>
                <w:rFonts w:eastAsia="仿宋_GB2312"/>
                <w:bCs/>
                <w:szCs w:val="21"/>
              </w:rPr>
            </w:pP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szCs w:val="21"/>
              </w:rPr>
              <w:t xml:space="preserve">现金存储  </w:t>
            </w: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szCs w:val="21"/>
              </w:rPr>
              <w:t xml:space="preserve"> 银行保函  </w:t>
            </w: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szCs w:val="21"/>
              </w:rPr>
              <w:t xml:space="preserve">工程保证保险  </w:t>
            </w: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szCs w:val="21"/>
              </w:rPr>
              <w:t>工程担保保函</w:t>
            </w:r>
          </w:p>
        </w:tc>
      </w:tr>
      <w:tr w14:paraId="21DB498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9" w:hRule="atLeast"/>
          <w:jc w:val="center"/>
        </w:trPr>
        <w:tc>
          <w:tcPr>
            <w:tcW w:w="823" w:type="dxa"/>
            <w:vMerge w:val="continue"/>
            <w:noWrap w:val="0"/>
            <w:vAlign w:val="center"/>
          </w:tcPr>
          <w:p w14:paraId="0D2BBDA9">
            <w:pPr>
              <w:widowControl/>
              <w:spacing w:line="420" w:lineRule="exact"/>
              <w:jc w:val="left"/>
              <w:rPr>
                <w:rFonts w:eastAsia="仿宋_GB2312"/>
                <w:bCs/>
                <w:kern w:val="0"/>
                <w:szCs w:val="21"/>
              </w:rPr>
            </w:pPr>
          </w:p>
        </w:tc>
        <w:tc>
          <w:tcPr>
            <w:tcW w:w="1648" w:type="dxa"/>
            <w:gridSpan w:val="2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CA77130">
            <w:pPr>
              <w:widowControl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申请材料</w:t>
            </w:r>
          </w:p>
        </w:tc>
        <w:tc>
          <w:tcPr>
            <w:tcW w:w="6849" w:type="dxa"/>
            <w:gridSpan w:val="3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93C2D1A">
            <w:pPr>
              <w:ind w:right="105" w:rightChars="50" w:firstLine="220" w:firstLineChars="100"/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szCs w:val="21"/>
              </w:rPr>
              <w:t xml:space="preserve">营业执照副本  </w:t>
            </w: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szCs w:val="21"/>
              </w:rPr>
              <w:t>施工合同原件（或中标通知书）</w:t>
            </w:r>
          </w:p>
          <w:p w14:paraId="0020D69D">
            <w:pPr>
              <w:ind w:right="105" w:rightChars="50" w:firstLine="220" w:firstLineChars="100"/>
              <w:jc w:val="left"/>
              <w:rPr>
                <w:rFonts w:eastAsia="仿宋_GB2312"/>
                <w:bCs/>
                <w:szCs w:val="21"/>
                <w:u w:val="single"/>
              </w:rPr>
            </w:pP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szCs w:val="21"/>
              </w:rPr>
              <w:t>符合差异化缴存的相关材料</w:t>
            </w:r>
          </w:p>
          <w:p w14:paraId="2CFA288F">
            <w:pPr>
              <w:widowControl/>
              <w:ind w:right="105" w:rightChars="50" w:firstLine="210" w:firstLineChars="100"/>
              <w:jc w:val="left"/>
              <w:rPr>
                <w:rFonts w:eastAsia="仿宋_GB2312"/>
                <w:szCs w:val="21"/>
              </w:rPr>
            </w:pPr>
          </w:p>
          <w:p w14:paraId="3EDBA199">
            <w:pPr>
              <w:widowControl/>
              <w:ind w:right="105" w:rightChars="50" w:firstLine="210" w:firstLineChars="100"/>
              <w:jc w:val="left"/>
              <w:rPr>
                <w:rFonts w:eastAsia="仿宋_GB2312"/>
                <w:szCs w:val="21"/>
              </w:rPr>
            </w:pPr>
            <w:r>
              <w:rPr>
                <w:rFonts w:eastAsia="仿宋_GB2312"/>
                <w:szCs w:val="21"/>
              </w:rPr>
              <w:t>施工总承包单位</w:t>
            </w:r>
            <w:r>
              <w:rPr>
                <w:rFonts w:hint="default" w:ascii="Times New Roman" w:hAnsi="Times New Roman" w:eastAsia="仿宋_GB2312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${page</w:t>
            </w:r>
            <w:r>
              <w:rPr>
                <w:rFonts w:hint="eastAsia" w:eastAsia="仿宋_GB2312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仿宋_GB2312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}</w:t>
            </w:r>
            <w:r>
              <w:rPr>
                <w:rFonts w:hint="eastAsia" w:eastAsia="仿宋_GB2312"/>
                <w:szCs w:val="21"/>
              </w:rPr>
              <w:t xml:space="preserve">             </w:t>
            </w:r>
            <w:r>
              <w:rPr>
                <w:rFonts w:eastAsia="仿宋_GB2312"/>
                <w:szCs w:val="21"/>
              </w:rPr>
              <w:t>负责人签字：</w:t>
            </w:r>
            <w:r>
              <w:rPr>
                <w:rFonts w:hint="default" w:ascii="Times New Roman" w:hAnsi="Times New Roman" w:eastAsia="仿宋_GB2312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${page</w:t>
            </w:r>
            <w:r>
              <w:rPr>
                <w:rFonts w:hint="eastAsia" w:eastAsia="仿宋_GB2312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eastAsia="仿宋_GB2312" w:cs="Times New Roman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}</w:t>
            </w:r>
          </w:p>
          <w:p w14:paraId="3152C805">
            <w:pPr>
              <w:ind w:left="105" w:leftChars="50" w:right="105" w:rightChars="50"/>
              <w:jc w:val="center"/>
              <w:rPr>
                <w:rFonts w:eastAsia="仿宋_GB2312"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 xml:space="preserve">                                       </w:t>
            </w:r>
            <w:r>
              <w:rPr>
                <w:rFonts w:eastAsia="仿宋_GB2312"/>
                <w:bCs/>
                <w:szCs w:val="21"/>
              </w:rPr>
              <w:t>年    月    日</w:t>
            </w:r>
          </w:p>
        </w:tc>
      </w:tr>
      <w:tr w14:paraId="01D683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  <w:jc w:val="center"/>
        </w:trPr>
        <w:tc>
          <w:tcPr>
            <w:tcW w:w="9320" w:type="dxa"/>
            <w:gridSpan w:val="6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top"/>
          </w:tcPr>
          <w:p w14:paraId="17A3CB39">
            <w:pPr>
              <w:jc w:val="center"/>
              <w:rPr>
                <w:rFonts w:hint="eastAsia" w:eastAsia="黑体"/>
                <w:bCs/>
                <w:szCs w:val="21"/>
              </w:rPr>
            </w:pPr>
            <w:r>
              <w:rPr>
                <w:rFonts w:eastAsia="黑体"/>
                <w:bCs/>
                <w:kern w:val="0"/>
                <w:szCs w:val="21"/>
              </w:rPr>
              <w:t>以下由人力资源社会保障行政部门填写</w:t>
            </w:r>
          </w:p>
        </w:tc>
      </w:tr>
      <w:tr w14:paraId="5B9378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  <w:jc w:val="center"/>
        </w:trPr>
        <w:tc>
          <w:tcPr>
            <w:tcW w:w="823" w:type="dxa"/>
            <w:vMerge w:val="restart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ACD628B">
            <w:pPr>
              <w:widowControl/>
              <w:spacing w:line="360" w:lineRule="exact"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人力</w:t>
            </w:r>
          </w:p>
          <w:p w14:paraId="475DB055">
            <w:pPr>
              <w:widowControl/>
              <w:spacing w:line="360" w:lineRule="exact"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资源</w:t>
            </w:r>
          </w:p>
          <w:p w14:paraId="500CEF39">
            <w:pPr>
              <w:widowControl/>
              <w:spacing w:line="360" w:lineRule="exact"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社会</w:t>
            </w:r>
          </w:p>
          <w:p w14:paraId="65451B86">
            <w:pPr>
              <w:widowControl/>
              <w:spacing w:line="360" w:lineRule="exact"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保障</w:t>
            </w:r>
          </w:p>
          <w:p w14:paraId="6D45D191">
            <w:pPr>
              <w:widowControl/>
              <w:spacing w:line="360" w:lineRule="exact"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行政</w:t>
            </w:r>
          </w:p>
          <w:p w14:paraId="136036E7">
            <w:pPr>
              <w:widowControl/>
              <w:spacing w:line="360" w:lineRule="exact"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部门</w:t>
            </w:r>
          </w:p>
        </w:tc>
        <w:tc>
          <w:tcPr>
            <w:tcW w:w="998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1226EAF2">
            <w:pPr>
              <w:widowControl/>
              <w:jc w:val="center"/>
              <w:textAlignment w:val="center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缴存类型</w:t>
            </w:r>
          </w:p>
        </w:tc>
        <w:tc>
          <w:tcPr>
            <w:tcW w:w="7499" w:type="dxa"/>
            <w:gridSpan w:val="4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1E420EB">
            <w:pPr>
              <w:widowControl/>
              <w:ind w:firstLine="210" w:firstLineChars="100"/>
              <w:textAlignment w:val="center"/>
              <w:rPr>
                <w:rFonts w:eastAsia="仿宋_GB2312"/>
                <w:bCs/>
                <w:szCs w:val="21"/>
              </w:rPr>
            </w:pPr>
            <w:r>
              <w:rPr>
                <w:rFonts w:hint="eastAsia" w:eastAsia="仿宋_GB2312"/>
                <w:bCs/>
                <w:szCs w:val="21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kern w:val="0"/>
                <w:szCs w:val="21"/>
              </w:rPr>
              <w:t>新缴</w:t>
            </w:r>
            <w:r>
              <w:rPr>
                <w:rFonts w:hint="eastAsia" w:eastAsia="仿宋_GB2312"/>
                <w:bCs/>
                <w:kern w:val="0"/>
                <w:szCs w:val="21"/>
              </w:rPr>
              <w:t xml:space="preserve"> </w:t>
            </w:r>
            <w:r>
              <w:rPr>
                <w:rFonts w:eastAsia="仿宋_GB2312"/>
                <w:bCs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kern w:val="0"/>
                <w:szCs w:val="21"/>
              </w:rPr>
              <w:t>补足</w:t>
            </w:r>
            <w:r>
              <w:rPr>
                <w:rFonts w:hint="eastAsia" w:eastAsia="仿宋_GB2312"/>
                <w:bCs/>
                <w:kern w:val="0"/>
                <w:szCs w:val="21"/>
              </w:rPr>
              <w:t xml:space="preserve"> </w:t>
            </w:r>
            <w:r>
              <w:rPr>
                <w:rFonts w:eastAsia="仿宋_GB2312"/>
                <w:bCs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/>
                <w:kern w:val="0"/>
                <w:sz w:val="22"/>
              </w:rPr>
              <w:t>□</w:t>
            </w:r>
            <w:r>
              <w:rPr>
                <w:rFonts w:eastAsia="仿宋_GB2312"/>
                <w:bCs/>
                <w:kern w:val="0"/>
                <w:szCs w:val="21"/>
              </w:rPr>
              <w:t>续缴</w:t>
            </w:r>
          </w:p>
        </w:tc>
      </w:tr>
      <w:tr w14:paraId="6079EE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0" w:hRule="atLeast"/>
          <w:jc w:val="center"/>
        </w:trPr>
        <w:tc>
          <w:tcPr>
            <w:tcW w:w="823" w:type="dxa"/>
            <w:vMerge w:val="continue"/>
            <w:noWrap w:val="0"/>
            <w:vAlign w:val="center"/>
          </w:tcPr>
          <w:p w14:paraId="1F940489">
            <w:pPr>
              <w:widowControl/>
              <w:spacing w:line="360" w:lineRule="exact"/>
              <w:jc w:val="left"/>
              <w:rPr>
                <w:rFonts w:eastAsia="仿宋_GB2312"/>
                <w:bCs/>
                <w:kern w:val="0"/>
                <w:szCs w:val="21"/>
              </w:rPr>
            </w:pPr>
          </w:p>
        </w:tc>
        <w:tc>
          <w:tcPr>
            <w:tcW w:w="998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08A45C56">
            <w:pPr>
              <w:widowControl/>
              <w:jc w:val="center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审核意见</w:t>
            </w:r>
          </w:p>
        </w:tc>
        <w:tc>
          <w:tcPr>
            <w:tcW w:w="7499" w:type="dxa"/>
            <w:gridSpan w:val="4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663C48D6">
            <w:pPr>
              <w:ind w:left="105" w:leftChars="50" w:right="105" w:rightChars="50"/>
              <w:jc w:val="left"/>
              <w:rPr>
                <w:rFonts w:hint="eastAsia" w:eastAsia="仿宋_GB2312"/>
                <w:bCs/>
                <w:szCs w:val="21"/>
                <w:u w:val="single"/>
              </w:rPr>
            </w:pPr>
            <w:r>
              <w:rPr>
                <w:rFonts w:eastAsia="仿宋_GB2312"/>
                <w:bCs/>
                <w:szCs w:val="21"/>
              </w:rPr>
              <w:t>存储比例：</w:t>
            </w:r>
            <w:r>
              <w:rPr>
                <w:rFonts w:eastAsia="仿宋_GB2312"/>
                <w:bCs/>
                <w:szCs w:val="21"/>
                <w:u w:val="single"/>
              </w:rPr>
              <w:t xml:space="preserve">             </w:t>
            </w:r>
            <w:r>
              <w:rPr>
                <w:rFonts w:eastAsia="仿宋_GB2312"/>
                <w:bCs/>
                <w:szCs w:val="21"/>
              </w:rPr>
              <w:t>；存储期限：</w:t>
            </w:r>
            <w:r>
              <w:rPr>
                <w:rFonts w:eastAsia="仿宋_GB2312"/>
                <w:bCs/>
                <w:szCs w:val="21"/>
                <w:u w:val="single"/>
              </w:rPr>
              <w:t xml:space="preserve">                                   </w:t>
            </w:r>
            <w:r>
              <w:rPr>
                <w:rFonts w:hint="eastAsia" w:eastAsia="仿宋_GB2312"/>
                <w:bCs/>
                <w:szCs w:val="21"/>
              </w:rPr>
              <w:t>；</w:t>
            </w:r>
          </w:p>
          <w:p w14:paraId="48F9D3CD">
            <w:pPr>
              <w:ind w:left="105" w:leftChars="50" w:right="105" w:rightChars="50"/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存储金额：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eastAsia="仿宋_GB2312"/>
                <w:szCs w:val="21"/>
              </w:rPr>
              <w:t>万元（大写：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                      </w:t>
            </w:r>
            <w:r>
              <w:rPr>
                <w:rFonts w:eastAsia="仿宋_GB2312"/>
                <w:szCs w:val="21"/>
              </w:rPr>
              <w:t>万元整）</w:t>
            </w:r>
            <w:r>
              <w:rPr>
                <w:rFonts w:eastAsia="仿宋_GB2312"/>
                <w:bCs/>
                <w:szCs w:val="21"/>
              </w:rPr>
              <w:t>。</w:t>
            </w:r>
          </w:p>
          <w:p w14:paraId="45F04934">
            <w:pPr>
              <w:widowControl/>
              <w:ind w:left="105" w:leftChars="50" w:right="105" w:rightChars="50"/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审核情况说明：1</w:t>
            </w:r>
            <w:r>
              <w:rPr>
                <w:rFonts w:eastAsia="仿宋_GB2312"/>
                <w:bCs/>
                <w:kern w:val="0"/>
                <w:szCs w:val="21"/>
              </w:rPr>
              <w:t>．</w:t>
            </w:r>
            <w:r>
              <w:rPr>
                <w:rFonts w:eastAsia="仿宋_GB2312"/>
                <w:bCs/>
                <w:szCs w:val="21"/>
              </w:rPr>
              <w:t>施工总承包单位信息是否正确；2</w:t>
            </w:r>
            <w:r>
              <w:rPr>
                <w:rFonts w:eastAsia="仿宋_GB2312"/>
                <w:bCs/>
                <w:kern w:val="0"/>
                <w:szCs w:val="21"/>
              </w:rPr>
              <w:t>．</w:t>
            </w:r>
            <w:r>
              <w:rPr>
                <w:rFonts w:eastAsia="仿宋_GB2312"/>
                <w:bCs/>
                <w:szCs w:val="21"/>
              </w:rPr>
              <w:t>是否符合差异化缴存的情形；3</w:t>
            </w:r>
            <w:r>
              <w:rPr>
                <w:rFonts w:eastAsia="仿宋_GB2312"/>
                <w:bCs/>
                <w:kern w:val="0"/>
                <w:szCs w:val="21"/>
              </w:rPr>
              <w:t>．</w:t>
            </w:r>
            <w:r>
              <w:rPr>
                <w:rFonts w:eastAsia="仿宋_GB2312"/>
                <w:bCs/>
                <w:szCs w:val="21"/>
              </w:rPr>
              <w:t>工资保证金使用、补足</w:t>
            </w:r>
            <w:r>
              <w:rPr>
                <w:rFonts w:hint="eastAsia" w:eastAsia="仿宋_GB2312"/>
                <w:bCs/>
                <w:szCs w:val="21"/>
              </w:rPr>
              <w:t>、续缴</w:t>
            </w:r>
            <w:r>
              <w:rPr>
                <w:rFonts w:eastAsia="仿宋_GB2312"/>
                <w:bCs/>
                <w:szCs w:val="21"/>
              </w:rPr>
              <w:t>等情况。</w:t>
            </w:r>
          </w:p>
          <w:p w14:paraId="368958E3">
            <w:pPr>
              <w:widowControl/>
              <w:ind w:right="471"/>
              <w:jc w:val="right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人力资源社会保障行政部门业务盖章</w:t>
            </w:r>
          </w:p>
          <w:p w14:paraId="0A9DCF70">
            <w:pPr>
              <w:ind w:firstLine="5460" w:firstLineChars="2600"/>
              <w:jc w:val="left"/>
              <w:rPr>
                <w:rFonts w:eastAsia="仿宋_GB2312"/>
                <w:bCs/>
                <w:szCs w:val="21"/>
              </w:rPr>
            </w:pPr>
            <w:r>
              <w:rPr>
                <w:rFonts w:eastAsia="仿宋_GB2312"/>
                <w:bCs/>
                <w:szCs w:val="21"/>
              </w:rPr>
              <w:t>年    月    日</w:t>
            </w:r>
          </w:p>
        </w:tc>
      </w:tr>
      <w:tr w14:paraId="1F2F90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  <w:jc w:val="center"/>
        </w:trPr>
        <w:tc>
          <w:tcPr>
            <w:tcW w:w="9320" w:type="dxa"/>
            <w:gridSpan w:val="6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552F82AC">
            <w:pPr>
              <w:widowControl/>
              <w:jc w:val="center"/>
              <w:textAlignment w:val="center"/>
              <w:rPr>
                <w:rFonts w:eastAsia="黑体"/>
                <w:bCs/>
                <w:kern w:val="0"/>
                <w:szCs w:val="21"/>
                <w:u w:val="single"/>
              </w:rPr>
            </w:pPr>
            <w:r>
              <w:rPr>
                <w:rFonts w:eastAsia="黑体"/>
                <w:bCs/>
                <w:kern w:val="0"/>
                <w:szCs w:val="21"/>
              </w:rPr>
              <w:t>回  执</w:t>
            </w:r>
          </w:p>
        </w:tc>
      </w:tr>
      <w:tr w14:paraId="450BAD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3" w:hRule="atLeast"/>
          <w:jc w:val="center"/>
        </w:trPr>
        <w:tc>
          <w:tcPr>
            <w:tcW w:w="9320" w:type="dxa"/>
            <w:gridSpan w:val="6"/>
            <w:noWrap w:val="0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14:paraId="33A1595D">
            <w:pPr>
              <w:widowControl/>
              <w:ind w:left="105" w:leftChars="50" w:right="105" w:rightChars="50" w:firstLine="420" w:firstLineChars="200"/>
              <w:jc w:val="left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根据《</w:t>
            </w:r>
            <w:r>
              <w:rPr>
                <w:rFonts w:eastAsia="仿宋_GB2312"/>
                <w:kern w:val="0"/>
                <w:szCs w:val="21"/>
              </w:rPr>
              <w:t>工程建设领域农民工工资保证金规定</w:t>
            </w:r>
            <w:r>
              <w:rPr>
                <w:rFonts w:eastAsia="仿宋_GB2312"/>
                <w:bCs/>
                <w:kern w:val="0"/>
                <w:szCs w:val="21"/>
              </w:rPr>
              <w:t>》《黄冈市工程建设领域农民工工资保证金实施办法》相关规定，该单位已于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  </w:t>
            </w:r>
            <w:r>
              <w:rPr>
                <w:rFonts w:eastAsia="仿宋_GB2312"/>
                <w:bCs/>
                <w:kern w:val="0"/>
                <w:szCs w:val="21"/>
              </w:rPr>
              <w:t>年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</w:t>
            </w:r>
            <w:r>
              <w:rPr>
                <w:rFonts w:eastAsia="仿宋_GB2312"/>
                <w:bCs/>
                <w:kern w:val="0"/>
                <w:szCs w:val="21"/>
              </w:rPr>
              <w:t>月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</w:t>
            </w:r>
            <w:r>
              <w:rPr>
                <w:rFonts w:eastAsia="仿宋_GB2312"/>
                <w:bCs/>
                <w:kern w:val="0"/>
                <w:szCs w:val="21"/>
              </w:rPr>
              <w:t>日足额缴</w:t>
            </w:r>
            <w:r>
              <w:rPr>
                <w:rFonts w:hint="eastAsia" w:eastAsia="仿宋_GB2312"/>
                <w:bCs/>
                <w:kern w:val="0"/>
                <w:szCs w:val="21"/>
              </w:rPr>
              <w:t>存</w:t>
            </w:r>
            <w:r>
              <w:rPr>
                <w:rFonts w:eastAsia="仿宋_GB2312"/>
                <w:bCs/>
                <w:kern w:val="0"/>
                <w:szCs w:val="21"/>
              </w:rPr>
              <w:t>工资保证金。</w:t>
            </w:r>
          </w:p>
          <w:p w14:paraId="65BCC5BC">
            <w:pPr>
              <w:widowControl/>
              <w:ind w:left="105" w:leftChars="50" w:right="105" w:rightChars="50" w:firstLine="420" w:firstLineChars="200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存储金额：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           </w:t>
            </w:r>
            <w:r>
              <w:rPr>
                <w:rFonts w:eastAsia="仿宋_GB2312"/>
                <w:bCs/>
                <w:kern w:val="0"/>
                <w:szCs w:val="21"/>
              </w:rPr>
              <w:t>； 存储期限：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eastAsia="仿宋_GB2312"/>
                <w:bCs/>
                <w:kern w:val="0"/>
                <w:szCs w:val="21"/>
              </w:rPr>
              <w:t>；存储方式：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eastAsia="仿宋_GB2312"/>
                <w:bCs/>
                <w:kern w:val="0"/>
                <w:szCs w:val="21"/>
              </w:rPr>
              <w:t>；</w:t>
            </w:r>
          </w:p>
          <w:p w14:paraId="25AC38ED">
            <w:pPr>
              <w:widowControl/>
              <w:ind w:left="105" w:leftChars="50" w:right="105" w:rightChars="50" w:firstLine="420" w:firstLineChars="200"/>
              <w:jc w:val="left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存储经办单位：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                    </w:t>
            </w:r>
            <w:r>
              <w:rPr>
                <w:rFonts w:hint="eastAsia" w:eastAsia="仿宋_GB2312"/>
                <w:bCs/>
                <w:kern w:val="0"/>
                <w:szCs w:val="21"/>
              </w:rPr>
              <w:t>；</w:t>
            </w:r>
            <w:r>
              <w:rPr>
                <w:rFonts w:eastAsia="仿宋_GB2312"/>
                <w:bCs/>
                <w:kern w:val="0"/>
                <w:szCs w:val="21"/>
              </w:rPr>
              <w:t>其他</w:t>
            </w:r>
            <w:r>
              <w:rPr>
                <w:rFonts w:eastAsia="仿宋_GB2312"/>
                <w:bCs/>
                <w:kern w:val="0"/>
                <w:szCs w:val="21"/>
                <w:u w:val="single"/>
              </w:rPr>
              <w:t xml:space="preserve">                            </w:t>
            </w:r>
            <w:r>
              <w:rPr>
                <w:rFonts w:eastAsia="仿宋_GB2312"/>
                <w:bCs/>
                <w:kern w:val="0"/>
                <w:szCs w:val="21"/>
              </w:rPr>
              <w:t xml:space="preserve">。         </w:t>
            </w:r>
          </w:p>
          <w:p w14:paraId="0656DE74">
            <w:pPr>
              <w:widowControl/>
              <w:ind w:left="105" w:leftChars="50" w:right="105" w:rightChars="50" w:firstLine="420" w:firstLineChars="200"/>
              <w:jc w:val="left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1．如施工总承包单位符合工资保证金差异化存储情形的，应按核定标准存储。</w:t>
            </w:r>
          </w:p>
          <w:p w14:paraId="61005322">
            <w:pPr>
              <w:widowControl/>
              <w:ind w:left="105" w:leftChars="50" w:right="105" w:rightChars="50" w:firstLine="420" w:firstLineChars="200"/>
              <w:jc w:val="left"/>
              <w:textAlignment w:val="center"/>
              <w:rPr>
                <w:rFonts w:eastAsia="仿宋_GB2312"/>
                <w:bCs/>
                <w:kern w:val="0"/>
                <w:szCs w:val="21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2．工程实际施工期限超过保函期限的，施工总承包单位应在保函到期前10个工作日内提供新的保函，保函有效期外施工的视为未按规定存储工资保证金。</w:t>
            </w:r>
          </w:p>
          <w:p w14:paraId="46688F37">
            <w:pPr>
              <w:widowControl/>
              <w:ind w:left="105" w:leftChars="50" w:right="105" w:rightChars="50" w:firstLine="409" w:firstLineChars="195"/>
              <w:textAlignment w:val="center"/>
              <w:rPr>
                <w:rFonts w:hint="eastAsia" w:eastAsia="仿宋_GB2312"/>
                <w:bCs/>
                <w:kern w:val="0"/>
                <w:szCs w:val="21"/>
                <w:lang w:val="en-US" w:eastAsia="zh-CN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3．工资保证金使用后，施工总承包单位应自使用之日起10个工作日内补足。</w:t>
            </w:r>
          </w:p>
          <w:p w14:paraId="20FF5E9D">
            <w:pPr>
              <w:widowControl/>
              <w:ind w:left="105" w:leftChars="50" w:right="105" w:rightChars="50" w:firstLine="409" w:firstLineChars="195"/>
              <w:textAlignment w:val="center"/>
              <w:rPr>
                <w:rFonts w:hint="eastAsia" w:eastAsia="仿宋_GB2312"/>
                <w:bCs/>
                <w:kern w:val="0"/>
                <w:szCs w:val="21"/>
                <w:lang w:val="en-US" w:eastAsia="zh-CN"/>
              </w:rPr>
            </w:pPr>
            <w:r>
              <w:rPr>
                <w:rFonts w:eastAsia="仿宋_GB2312"/>
                <w:bCs/>
                <w:kern w:val="0"/>
                <w:szCs w:val="21"/>
              </w:rPr>
              <w:t>4．本回执用于工程项目工资保证金存储凭证，由人力资源社会保障行政部门留存。</w:t>
            </w:r>
          </w:p>
        </w:tc>
      </w:tr>
    </w:tbl>
    <w:p w14:paraId="603A2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4MmVkOTA1MjFjYzMwZWNmZGFhODliZDBjZWU4YWMifQ=="/>
  </w:docVars>
  <w:rsids>
    <w:rsidRoot w:val="40823C7D"/>
    <w:rsid w:val="0593403E"/>
    <w:rsid w:val="064214FF"/>
    <w:rsid w:val="09652DB9"/>
    <w:rsid w:val="0AD37649"/>
    <w:rsid w:val="0D223884"/>
    <w:rsid w:val="1AE809AF"/>
    <w:rsid w:val="3A6074DF"/>
    <w:rsid w:val="3AFE2595"/>
    <w:rsid w:val="40823C7D"/>
    <w:rsid w:val="4404757D"/>
    <w:rsid w:val="5A8544B5"/>
    <w:rsid w:val="5A9F34BF"/>
    <w:rsid w:val="6A4A735E"/>
    <w:rsid w:val="71CF553F"/>
    <w:rsid w:val="7B5D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619</Words>
  <Characters>763</Characters>
  <Lines>0</Lines>
  <Paragraphs>0</Paragraphs>
  <TotalTime>2</TotalTime>
  <ScaleCrop>false</ScaleCrop>
  <LinksUpToDate>false</LinksUpToDate>
  <CharactersWithSpaces>1058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2023-09-21T06:34:00Z</dcterms:created>
  <dc:creator>宋丹</dc:creator>
  <cp:lastModifiedBy>铜锣烧</cp:lastModifiedBy>
  <dcterms:modified xsi:type="dcterms:W3CDTF">2024-11-17T12:24:16Z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78F5FC05E5B242D68DC580644EBDECE0_11</vt:lpwstr>
  </property>
</Properties>
</file>