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BUILD NEW HABITS</w:t>
      </w:r>
    </w:p>
    <w:p>
      <w:pPr>
        <w:spacing w:after="60"/>
        <w:jc w:val="center"/>
      </w:pPr>
      <w:r>
        <w:rPr>
          <w:sz w:val="22"/>
          <w:szCs w:val="22"/>
        </w:rPr>
        <w:t xml:space="preserve">Alongside: Move</w:t>
      </w:r>
    </w:p>
    <w:p>
      <w:pPr>
        <w:spacing w:after="60"/>
        <w:jc w:val="center"/>
      </w:pPr>
      <w:r>
        <w:rPr>
          <w:b/>
          <w:bCs/>
          <w:sz w:val="32"/>
          <w:szCs w:val="32"/>
        </w:rPr>
        <w:t xml:space="preserve">Personal Data Breach Response Procedure</w:t>
      </w:r>
    </w:p>
    <w:p>
      <w:pPr>
        <w:spacing w:after="60"/>
        <w:jc w:val="center"/>
      </w:pPr>
      <w:r>
        <w:rPr>
          <w:b/>
          <w:bCs/>
          <w:sz w:val="24"/>
          <w:szCs w:val="24"/>
        </w:rPr>
        <w:t xml:space="preserve">28 Aug 2026 v1</w:t>
      </w:r>
    </w:p>
    <w:p>
      <w:pPr>
        <w:spacing w:after="240"/>
        <w:jc w:val="center"/>
      </w:pPr>
      <w:r>
        <w:rPr>
          <w:i/>
          <w:iCs/>
          <w:sz w:val="20"/>
          <w:szCs w:val="20"/>
        </w:rPr>
        <w:t xml:space="preserve">UK GDPR Articles 33 and 34 — what to do at hour one, and everything after (INF-7)</w:t>
      </w:r>
    </w:p>
    <w:p>
      <w:pPr>
        <w:pBdr>
          <w:top w:val="single" w:color="B8860B" w:sz="4"/>
          <w:bottom w:val="single" w:color="B8860B" w:sz="4"/>
        </w:pBdr>
        <w:shd w:fill="FFF3CD" w:val="clear"/>
        <w:spacing w:after="240"/>
      </w:pPr>
      <w:r>
        <w:rPr>
          <w:sz w:val="18"/>
          <w:szCs w:val="18"/>
        </w:rPr>
        <w:t xml:space="preserve">DRAFT — prepared for Graeme Wright’s review and adoption, and for validation by Foot Anstey. Every product claim in this document is traceable to a code path, gate, or repository artefact, per the standing rule of 28 Aug 2026. Nothing here describes an intention as though it were a fact; where a control is built but not yet live, that is stated.</w:t>
      </w:r>
    </w:p>
    <w:p>
      <w:pPr>
        <w:pStyle w:val="Heading1"/>
        <w:spacing w:after="120" w:before="240"/>
      </w:pPr>
      <w:r>
        <w:t xml:space="preserve">1. Purpose</w:t>
      </w:r>
    </w:p>
    <w:p>
      <w:pPr>
        <w:spacing w:after="120"/>
      </w:pPr>
      <w:r>
        <w:t xml:space="preserve">UK GDPR Article 33 requires a personal data breach to be reported to the ICO without undue delay and, where feasible, within 72 hours of becoming aware of it, unless it is unlikely to result in a risk to people’s rights and freedoms. Article 34 requires affected individuals to be told without undue delay where the risk is high. Article 33(5) requires every breach — reportable or not — to be documented. Until today there was no procedure to follow at hour one. This is that procedure, written to be followable by one person under stress.</w:t>
      </w:r>
    </w:p>
    <w:p>
      <w:pPr>
        <w:spacing w:after="120"/>
      </w:pPr>
      <w:r>
        <w:t xml:space="preserve">Because Alongside: Move processes special category health data (energy, mood, pain, conditions, and — where enabled — weight), the risk threshold should be treated as low: when in doubt, assess as if reportable and let the assessment prove otherwise.</w:t>
      </w:r>
    </w:p>
    <w:p>
      <w:pPr>
        <w:pStyle w:val="Heading1"/>
        <w:spacing w:after="120" w:before="240"/>
      </w:pPr>
      <w:r>
        <w:t xml:space="preserve">2. What counts as a breach</w:t>
      </w:r>
    </w:p>
    <w:p>
      <w:pPr>
        <w:spacing w:after="120"/>
      </w:pPr>
      <w:r>
        <w:t xml:space="preserve">A breach of security leading to accidental or unlawful destruction, loss, alteration, unauthorised disclosure of, or access to, personal data. All three kinds count:</w:t>
      </w:r>
    </w:p>
    <w:p>
      <w:pPr>
        <w:pStyle w:val="ListParagraph"/>
        <w:numPr>
          <w:ilvl w:val="0"/>
          <w:numId w:val="2"/>
        </w:numPr>
        <w:spacing w:after="60"/>
      </w:pPr>
      <w:r>
        <w:rPr>
          <w:b/>
          <w:bCs/>
        </w:rPr>
        <w:t xml:space="preserve">Confidentiality — </w:t>
      </w:r>
      <w:r>
        <w:t xml:space="preserve">someone saw or took data they should not have (leaked token, compromised account, misdirected email).</w:t>
      </w:r>
    </w:p>
    <w:p>
      <w:pPr>
        <w:pStyle w:val="ListParagraph"/>
        <w:numPr>
          <w:ilvl w:val="0"/>
          <w:numId w:val="2"/>
        </w:numPr>
        <w:spacing w:after="60"/>
      </w:pPr>
      <w:r>
        <w:rPr>
          <w:b/>
          <w:bCs/>
        </w:rPr>
        <w:t xml:space="preserve">Integrity — </w:t>
      </w:r>
      <w:r>
        <w:t xml:space="preserve">data altered without authorisation.</w:t>
      </w:r>
    </w:p>
    <w:p>
      <w:pPr>
        <w:pStyle w:val="ListParagraph"/>
        <w:numPr>
          <w:ilvl w:val="0"/>
          <w:numId w:val="2"/>
        </w:numPr>
        <w:spacing w:after="60"/>
      </w:pPr>
      <w:r>
        <w:rPr>
          <w:b/>
          <w:bCs/>
        </w:rPr>
        <w:t xml:space="preserve">Availability — </w:t>
      </w:r>
      <w:r>
        <w:t xml:space="preserve">data lost or destroyed with no ability to restore (including ransomware and accidental deletion without backup).</w:t>
      </w:r>
    </w:p>
    <w:p>
      <w:pPr>
        <w:spacing w:after="120"/>
      </w:pPr>
      <w:r>
        <w:t xml:space="preserve">A near miss that exposed no personal data is not a breach, but should still go in the log marked as such.</w:t>
      </w:r>
    </w:p>
    <w:p>
      <w:pPr>
        <w:pStyle w:val="Heading1"/>
        <w:spacing w:after="120" w:before="240"/>
      </w:pPr>
      <w:r>
        <w:t xml:space="preserve">3. Hour one — in order</w:t>
      </w:r>
    </w:p>
    <w:p>
      <w:pPr>
        <w:pStyle w:val="ListParagraph"/>
        <w:numPr>
          <w:ilvl w:val="0"/>
          <w:numId w:val="2"/>
        </w:numPr>
        <w:spacing w:after="60"/>
      </w:pPr>
      <w:r>
        <w:t xml:space="preserve">1. Write down the time you became aware. The 72-hour clock runs from this moment. Start the log entry (section 7) immediately — contemporaneous notes are the record.</w:t>
      </w:r>
    </w:p>
    <w:p>
      <w:pPr>
        <w:pStyle w:val="ListParagraph"/>
        <w:numPr>
          <w:ilvl w:val="0"/>
          <w:numId w:val="2"/>
        </w:numPr>
        <w:spacing w:after="60"/>
      </w:pPr>
      <w:r>
        <w:t xml:space="preserve">2. Contain. Revoke the credential, disable the integration, take the surface offline — whatever stops it continuing. For a leaked GitHub token: revoke at github.com/settings/tokens. For a compromised service account (Supabase, Sentry, Zoho, Kit): rotate the password and revoke sessions in that service’s dashboard.</w:t>
      </w:r>
    </w:p>
    <w:p>
      <w:pPr>
        <w:pStyle w:val="ListParagraph"/>
        <w:numPr>
          <w:ilvl w:val="0"/>
          <w:numId w:val="2"/>
        </w:numPr>
        <w:spacing w:after="60"/>
      </w:pPr>
      <w:r>
        <w:t xml:space="preserve">3. Preserve evidence. Do not delete logs, emails, or the affected data. Screenshot what you see.</w:t>
      </w:r>
    </w:p>
    <w:p>
      <w:pPr>
        <w:pStyle w:val="ListParagraph"/>
        <w:numPr>
          <w:ilvl w:val="0"/>
          <w:numId w:val="2"/>
        </w:numPr>
        <w:spacing w:after="60"/>
      </w:pPr>
      <w:r>
        <w:t xml:space="preserve">4. Establish scope: whose data, what categories, how many people, over what period, and whether health data is involved.</w:t>
      </w:r>
    </w:p>
    <w:p>
      <w:pPr>
        <w:pStyle w:val="Heading1"/>
        <w:spacing w:after="120" w:before="240"/>
      </w:pPr>
      <w:r>
        <w:t xml:space="preserve">4. Assess the risk</w:t>
      </w:r>
    </w:p>
    <w:p>
      <w:pPr>
        <w:spacing w:after="120"/>
      </w:pPr>
      <w:r>
        <w:t xml:space="preserve">Ask: what could realistically happen to the people affected? Consider the sensitivity (health data weighs heavily), the volume, how identifiable the data is, who has it now, and whether it was protected (encrypted, hashed).</w:t>
      </w:r>
    </w:p>
    <w:p>
      <w:pPr>
        <w:pStyle w:val="ListParagraph"/>
        <w:numPr>
          <w:ilvl w:val="0"/>
          <w:numId w:val="2"/>
        </w:numPr>
        <w:spacing w:after="60"/>
      </w:pPr>
      <w:r>
        <w:t xml:space="preserve">Unlikely to result in risk → no ICO report required. Log it (section 7) with the reasoning, dated.</w:t>
      </w:r>
    </w:p>
    <w:p>
      <w:pPr>
        <w:pStyle w:val="ListParagraph"/>
        <w:numPr>
          <w:ilvl w:val="0"/>
          <w:numId w:val="2"/>
        </w:numPr>
        <w:spacing w:after="60"/>
      </w:pPr>
      <w:r>
        <w:t xml:space="preserve">A risk → report to the ICO within 72 hours (section 5).</w:t>
      </w:r>
    </w:p>
    <w:p>
      <w:pPr>
        <w:pStyle w:val="ListParagraph"/>
        <w:numPr>
          <w:ilvl w:val="0"/>
          <w:numId w:val="2"/>
        </w:numPr>
        <w:spacing w:after="60"/>
      </w:pPr>
      <w:r>
        <w:t xml:space="preserve">A high risk → report to the ICO and tell the affected individuals without undue delay (section 6).</w:t>
      </w:r>
    </w:p>
    <w:p>
      <w:pPr>
        <w:spacing w:after="120"/>
      </w:pPr>
      <w:r>
        <w:t xml:space="preserve">Health data disclosed to an unknown third party should be treated as high risk by default.</w:t>
      </w:r>
    </w:p>
    <w:p>
      <w:pPr>
        <w:pStyle w:val="Heading1"/>
        <w:spacing w:after="120" w:before="240"/>
      </w:pPr>
      <w:r>
        <w:t xml:space="preserve">5. Reporting to the ICO</w:t>
      </w:r>
    </w:p>
    <w:p>
      <w:pPr>
        <w:pStyle w:val="ListParagraph"/>
        <w:numPr>
          <w:ilvl w:val="0"/>
          <w:numId w:val="2"/>
        </w:numPr>
        <w:spacing w:after="60"/>
      </w:pPr>
      <w:r>
        <w:t xml:space="preserve">How: the ICO’s online personal data breach reporting service at ico.org.uk, or the helpline 0303 123 1113.</w:t>
      </w:r>
    </w:p>
    <w:p>
      <w:pPr>
        <w:pStyle w:val="ListParagraph"/>
        <w:numPr>
          <w:ilvl w:val="0"/>
          <w:numId w:val="2"/>
        </w:numPr>
        <w:spacing w:after="60"/>
      </w:pPr>
      <w:r>
        <w:t xml:space="preserve">Within 72 hours even if the picture is incomplete — the law allows reporting in phases. Say what is known, what is not yet known, and when the rest will follow.</w:t>
      </w:r>
    </w:p>
    <w:p>
      <w:pPr>
        <w:pStyle w:val="ListParagraph"/>
        <w:numPr>
          <w:ilvl w:val="0"/>
          <w:numId w:val="2"/>
        </w:numPr>
        <w:spacing w:after="60"/>
      </w:pPr>
      <w:r>
        <w:t xml:space="preserve">What the report needs: the nature of the breach, categories and approximate numbers of people and records, likely consequences, measures taken or proposed, and a contact point (Graeme Wright, hello@buildnewhabits.co.uk).</w:t>
      </w:r>
    </w:p>
    <w:p>
      <w:pPr>
        <w:pStyle w:val="ListParagraph"/>
        <w:numPr>
          <w:ilvl w:val="0"/>
          <w:numId w:val="2"/>
        </w:numPr>
        <w:spacing w:after="60"/>
      </w:pPr>
      <w:r>
        <w:t xml:space="preserve">If the report is later than 72 hours, it must explain the delay.</w:t>
      </w:r>
    </w:p>
    <w:p>
      <w:pPr>
        <w:pStyle w:val="Heading1"/>
        <w:spacing w:after="120" w:before="240"/>
      </w:pPr>
      <w:r>
        <w:t xml:space="preserve">6. Telling the people affected (Article 34)</w:t>
      </w:r>
    </w:p>
    <w:p>
      <w:pPr>
        <w:spacing w:after="120"/>
      </w:pPr>
      <w:r>
        <w:t xml:space="preserve">Where the risk is high, tell affected individuals directly, in plain language, without undue delay: what happened, what data was involved, what is being done, what they can do, and how to reach us. Do not bury it in a general announcement. A short template:</w:t>
      </w:r>
    </w:p>
    <w:p>
      <w:pPr>
        <w:spacing w:after="120"/>
      </w:pPr>
      <w:r>
        <w:rPr>
          <w:i/>
          <w:iCs/>
        </w:rPr>
        <w:t xml:space="preserve">“I’m writing to tell you about a security incident affecting your Alongside: Move data. On [date], [what happened, plainly]. The information involved was [categories]. I have [containment steps]. What you may want to do: [practical steps]. I’m sorry this happened. You can reach me directly at hello@buildnewhabits.co.uk, and you have the right to raise this with the ICO at ico.org.uk.”</w:t>
      </w:r>
    </w:p>
    <w:p>
      <w:pPr>
        <w:pStyle w:val="Heading1"/>
        <w:spacing w:after="120" w:before="240"/>
      </w:pPr>
      <w:r>
        <w:t xml:space="preserve">7. The breach log (Article 33(5) — mandatory for every breach)</w:t>
      </w:r>
    </w:p>
    <w:p>
      <w:pPr>
        <w:spacing w:after="120"/>
      </w:pPr>
      <w:r>
        <w:t xml:space="preserve">Kept at Documents/Business/breach_log.md in the repository’s private records (or successor location once cloud records exist). Every incident gets a row, including ones assessed as non-reportable — the reasoning for not reporting is itself a required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500"/>
        <w:gridCol w:w="1700"/>
        <w:gridCol w:w="1200"/>
        <w:gridCol w:w="1100"/>
        <w:gridCol w:w="1400"/>
      </w:tblGrid>
      <w:tr>
        <w:tc>
          <w:tcPr>
            <w:tcW w:type="dxa" w:w="1100"/>
            <w:shd w:fill="E8E8E8" w:val="clear"/>
            <w:tcMar>
              <w:top w:type="dxa" w:w="60"/>
              <w:left w:type="dxa" w:w="100"/>
              <w:bottom w:type="dxa" w:w="60"/>
              <w:right w:type="dxa" w:w="100"/>
            </w:tcMar>
          </w:tcPr>
          <w:p>
            <w:r>
              <w:rPr>
                <w:b/>
                <w:bCs/>
                <w:sz w:val="18"/>
                <w:szCs w:val="18"/>
              </w:rPr>
              <w:t xml:space="preserve">Date aware</w:t>
            </w:r>
          </w:p>
        </w:tc>
        <w:tc>
          <w:tcPr>
            <w:tcW w:type="dxa" w:w="1600"/>
            <w:shd w:fill="E8E8E8" w:val="clear"/>
            <w:tcMar>
              <w:top w:type="dxa" w:w="60"/>
              <w:left w:type="dxa" w:w="100"/>
              <w:bottom w:type="dxa" w:w="60"/>
              <w:right w:type="dxa" w:w="100"/>
            </w:tcMar>
          </w:tcPr>
          <w:p>
            <w:r>
              <w:rPr>
                <w:b/>
                <w:bCs/>
                <w:sz w:val="18"/>
                <w:szCs w:val="18"/>
              </w:rPr>
              <w:t xml:space="preserve">What happened</w:t>
            </w:r>
          </w:p>
        </w:tc>
        <w:tc>
          <w:tcPr>
            <w:tcW w:type="dxa" w:w="1500"/>
            <w:shd w:fill="E8E8E8" w:val="clear"/>
            <w:tcMar>
              <w:top w:type="dxa" w:w="60"/>
              <w:left w:type="dxa" w:w="100"/>
              <w:bottom w:type="dxa" w:w="60"/>
              <w:right w:type="dxa" w:w="100"/>
            </w:tcMar>
          </w:tcPr>
          <w:p>
            <w:r>
              <w:rPr>
                <w:b/>
                <w:bCs/>
                <w:sz w:val="18"/>
                <w:szCs w:val="18"/>
              </w:rPr>
              <w:t xml:space="preserve">Data and people affected</w:t>
            </w:r>
          </w:p>
        </w:tc>
        <w:tc>
          <w:tcPr>
            <w:tcW w:type="dxa" w:w="1700"/>
            <w:shd w:fill="E8E8E8" w:val="clear"/>
            <w:tcMar>
              <w:top w:type="dxa" w:w="60"/>
              <w:left w:type="dxa" w:w="100"/>
              <w:bottom w:type="dxa" w:w="60"/>
              <w:right w:type="dxa" w:w="100"/>
            </w:tcMar>
          </w:tcPr>
          <w:p>
            <w:r>
              <w:rPr>
                <w:b/>
                <w:bCs/>
                <w:sz w:val="18"/>
                <w:szCs w:val="18"/>
              </w:rPr>
              <w:t xml:space="preserve">Risk assessment and reasoning</w:t>
            </w:r>
          </w:p>
        </w:tc>
        <w:tc>
          <w:tcPr>
            <w:tcW w:type="dxa" w:w="1200"/>
            <w:shd w:fill="E8E8E8" w:val="clear"/>
            <w:tcMar>
              <w:top w:type="dxa" w:w="60"/>
              <w:left w:type="dxa" w:w="100"/>
              <w:bottom w:type="dxa" w:w="60"/>
              <w:right w:type="dxa" w:w="100"/>
            </w:tcMar>
          </w:tcPr>
          <w:p>
            <w:r>
              <w:rPr>
                <w:b/>
                <w:bCs/>
                <w:sz w:val="18"/>
                <w:szCs w:val="18"/>
              </w:rPr>
              <w:t xml:space="preserve">ICO reported? (date/ref)</w:t>
            </w:r>
          </w:p>
        </w:tc>
        <w:tc>
          <w:tcPr>
            <w:tcW w:type="dxa" w:w="1100"/>
            <w:shd w:fill="E8E8E8" w:val="clear"/>
            <w:tcMar>
              <w:top w:type="dxa" w:w="60"/>
              <w:left w:type="dxa" w:w="100"/>
              <w:bottom w:type="dxa" w:w="60"/>
              <w:right w:type="dxa" w:w="100"/>
            </w:tcMar>
          </w:tcPr>
          <w:p>
            <w:r>
              <w:rPr>
                <w:b/>
                <w:bCs/>
                <w:sz w:val="18"/>
                <w:szCs w:val="18"/>
              </w:rPr>
              <w:t xml:space="preserve">Individuals told? (date)</w:t>
            </w:r>
          </w:p>
        </w:tc>
        <w:tc>
          <w:tcPr>
            <w:tcW w:type="dxa" w:w="1400"/>
            <w:shd w:fill="E8E8E8" w:val="clear"/>
            <w:tcMar>
              <w:top w:type="dxa" w:w="60"/>
              <w:left w:type="dxa" w:w="100"/>
              <w:bottom w:type="dxa" w:w="60"/>
              <w:right w:type="dxa" w:w="100"/>
            </w:tcMar>
          </w:tcPr>
          <w:p>
            <w:r>
              <w:rPr>
                <w:b/>
                <w:bCs/>
                <w:sz w:val="18"/>
                <w:szCs w:val="18"/>
              </w:rPr>
              <w:t xml:space="preserve">Remedial action</w:t>
            </w:r>
          </w:p>
        </w:tc>
      </w:tr>
      <w:tr>
        <w:tc>
          <w:tcPr>
            <w:tcW w:type="dxa" w:w="1100"/>
            <w:tcMar>
              <w:top w:type="dxa" w:w="60"/>
              <w:left w:type="dxa" w:w="100"/>
              <w:bottom w:type="dxa" w:w="60"/>
              <w:right w:type="dxa" w:w="100"/>
            </w:tcMar>
          </w:tcPr>
          <w:p>
            <w:r>
              <w:rPr>
                <w:sz w:val="18"/>
                <w:szCs w:val="18"/>
              </w:rPr>
              <w:t xml:space="preserve"/>
            </w:r>
          </w:p>
        </w:tc>
        <w:tc>
          <w:tcPr>
            <w:tcW w:type="dxa" w:w="1600"/>
            <w:tcMar>
              <w:top w:type="dxa" w:w="60"/>
              <w:left w:type="dxa" w:w="100"/>
              <w:bottom w:type="dxa" w:w="60"/>
              <w:right w:type="dxa" w:w="100"/>
            </w:tcMar>
          </w:tcPr>
          <w:p>
            <w:r>
              <w:rPr>
                <w:sz w:val="18"/>
                <w:szCs w:val="18"/>
              </w:rPr>
              <w:t xml:space="preserve"/>
            </w:r>
          </w:p>
        </w:tc>
        <w:tc>
          <w:tcPr>
            <w:tcW w:type="dxa" w:w="1500"/>
            <w:tcMar>
              <w:top w:type="dxa" w:w="60"/>
              <w:left w:type="dxa" w:w="100"/>
              <w:bottom w:type="dxa" w:w="60"/>
              <w:right w:type="dxa" w:w="100"/>
            </w:tcMar>
          </w:tcPr>
          <w:p>
            <w:r>
              <w:rPr>
                <w:sz w:val="18"/>
                <w:szCs w:val="18"/>
              </w:rPr>
              <w:t xml:space="preserve"/>
            </w:r>
          </w:p>
        </w:tc>
        <w:tc>
          <w:tcPr>
            <w:tcW w:type="dxa" w:w="1700"/>
            <w:tcMar>
              <w:top w:type="dxa" w:w="60"/>
              <w:left w:type="dxa" w:w="100"/>
              <w:bottom w:type="dxa" w:w="60"/>
              <w:right w:type="dxa" w:w="100"/>
            </w:tcMar>
          </w:tcPr>
          <w:p>
            <w:r>
              <w:rPr>
                <w:sz w:val="18"/>
                <w:szCs w:val="18"/>
              </w:rPr>
              <w:t xml:space="preserve"/>
            </w:r>
          </w:p>
        </w:tc>
        <w:tc>
          <w:tcPr>
            <w:tcW w:type="dxa" w:w="1200"/>
            <w:tcMar>
              <w:top w:type="dxa" w:w="60"/>
              <w:left w:type="dxa" w:w="100"/>
              <w:bottom w:type="dxa" w:w="60"/>
              <w:right w:type="dxa" w:w="100"/>
            </w:tcMar>
          </w:tcPr>
          <w:p>
            <w:r>
              <w:rPr>
                <w:sz w:val="18"/>
                <w:szCs w:val="18"/>
              </w:rPr>
              <w:t xml:space="preserve"/>
            </w:r>
          </w:p>
        </w:tc>
        <w:tc>
          <w:tcPr>
            <w:tcW w:type="dxa" w:w="1100"/>
            <w:tcMar>
              <w:top w:type="dxa" w:w="60"/>
              <w:left w:type="dxa" w:w="100"/>
              <w:bottom w:type="dxa" w:w="60"/>
              <w:right w:type="dxa" w:w="100"/>
            </w:tcMar>
          </w:tcPr>
          <w:p>
            <w:r>
              <w:rPr>
                <w:sz w:val="18"/>
                <w:szCs w:val="18"/>
              </w:rPr>
              <w:t xml:space="preserve"/>
            </w:r>
          </w:p>
        </w:tc>
        <w:tc>
          <w:tcPr>
            <w:tcW w:type="dxa" w:w="1400"/>
            <w:tcMar>
              <w:top w:type="dxa" w:w="60"/>
              <w:left w:type="dxa" w:w="100"/>
              <w:bottom w:type="dxa" w:w="60"/>
              <w:right w:type="dxa" w:w="100"/>
            </w:tcMar>
          </w:tcPr>
          <w:p>
            <w:r>
              <w:rPr>
                <w:sz w:val="18"/>
                <w:szCs w:val="18"/>
              </w:rPr>
              <w:t xml:space="preserve"/>
            </w:r>
          </w:p>
        </w:tc>
      </w:tr>
    </w:tbl>
    <w:p>
      <w:pPr>
        <w:pStyle w:val="Heading1"/>
        <w:spacing w:after="120" w:before="240"/>
      </w:pPr>
      <w:r>
        <w:t xml:space="preserve">8. Processors — who must tell us, and how we hear</w:t>
      </w:r>
    </w:p>
    <w:p>
      <w:pPr>
        <w:spacing w:after="120"/>
      </w:pPr>
      <w:r>
        <w:t xml:space="preserve">Under Article 33(2) a processor must notify the controller without undue delay after becoming aware of a breach. Current and planned processors: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000"/>
      </w:tblGrid>
      <w:tr>
        <w:tc>
          <w:tcPr>
            <w:tcW w:type="dxa" w:w="1600"/>
            <w:shd w:fill="E8E8E8" w:val="clear"/>
            <w:tcMar>
              <w:top w:type="dxa" w:w="60"/>
              <w:left w:type="dxa" w:w="100"/>
              <w:bottom w:type="dxa" w:w="60"/>
              <w:right w:type="dxa" w:w="100"/>
            </w:tcMar>
          </w:tcPr>
          <w:p>
            <w:r>
              <w:rPr>
                <w:b/>
                <w:bCs/>
                <w:sz w:val="18"/>
                <w:szCs w:val="18"/>
              </w:rPr>
              <w:t xml:space="preserve">Processor</w:t>
            </w:r>
          </w:p>
        </w:tc>
        <w:tc>
          <w:tcPr>
            <w:tcW w:type="dxa" w:w="2400"/>
            <w:shd w:fill="E8E8E8" w:val="clear"/>
            <w:tcMar>
              <w:top w:type="dxa" w:w="60"/>
              <w:left w:type="dxa" w:w="100"/>
              <w:bottom w:type="dxa" w:w="60"/>
              <w:right w:type="dxa" w:w="100"/>
            </w:tcMar>
          </w:tcPr>
          <w:p>
            <w:r>
              <w:rPr>
                <w:b/>
                <w:bCs/>
                <w:sz w:val="18"/>
                <w:szCs w:val="18"/>
              </w:rPr>
              <w:t xml:space="preserve">What they hold</w:t>
            </w:r>
          </w:p>
        </w:tc>
        <w:tc>
          <w:tcPr>
            <w:tcW w:type="dxa" w:w="2200"/>
            <w:shd w:fill="E8E8E8" w:val="clear"/>
            <w:tcMar>
              <w:top w:type="dxa" w:w="60"/>
              <w:left w:type="dxa" w:w="100"/>
              <w:bottom w:type="dxa" w:w="60"/>
              <w:right w:type="dxa" w:w="100"/>
            </w:tcMar>
          </w:tcPr>
          <w:p>
            <w:r>
              <w:rPr>
                <w:b/>
                <w:bCs/>
                <w:sz w:val="18"/>
                <w:szCs w:val="18"/>
              </w:rPr>
              <w:t xml:space="preserve">Status</w:t>
            </w:r>
          </w:p>
        </w:tc>
        <w:tc>
          <w:tcPr>
            <w:tcW w:type="dxa" w:w="3000"/>
            <w:shd w:fill="E8E8E8" w:val="clear"/>
            <w:tcMar>
              <w:top w:type="dxa" w:w="60"/>
              <w:left w:type="dxa" w:w="100"/>
              <w:bottom w:type="dxa" w:w="60"/>
              <w:right w:type="dxa" w:w="100"/>
            </w:tcMar>
          </w:tcPr>
          <w:p>
            <w:r>
              <w:rPr>
                <w:b/>
                <w:bCs/>
                <w:sz w:val="18"/>
                <w:szCs w:val="18"/>
              </w:rPr>
              <w:t xml:space="preserve">Where their notice arrives</w:t>
            </w:r>
          </w:p>
        </w:tc>
      </w:tr>
      <w:tr>
        <w:tc>
          <w:tcPr>
            <w:tcW w:type="dxa" w:w="1600"/>
            <w:tcMar>
              <w:top w:type="dxa" w:w="60"/>
              <w:left w:type="dxa" w:w="100"/>
              <w:bottom w:type="dxa" w:w="60"/>
              <w:right w:type="dxa" w:w="100"/>
            </w:tcMar>
          </w:tcPr>
          <w:p>
            <w:r>
              <w:rPr>
                <w:sz w:val="18"/>
                <w:szCs w:val="18"/>
              </w:rPr>
              <w:t xml:space="preserve">Sentry (EU, Frankfurt)</w:t>
            </w:r>
          </w:p>
        </w:tc>
        <w:tc>
          <w:tcPr>
            <w:tcW w:type="dxa" w:w="2400"/>
            <w:tcMar>
              <w:top w:type="dxa" w:w="60"/>
              <w:left w:type="dxa" w:w="100"/>
              <w:bottom w:type="dxa" w:w="60"/>
              <w:right w:type="dxa" w:w="100"/>
            </w:tcMar>
          </w:tcPr>
          <w:p>
            <w:r>
              <w:rPr>
                <w:sz w:val="18"/>
                <w:szCs w:val="18"/>
              </w:rPr>
              <w:t xml:space="preserve">Error reports from the app</w:t>
            </w:r>
          </w:p>
        </w:tc>
        <w:tc>
          <w:tcPr>
            <w:tcW w:type="dxa" w:w="2200"/>
            <w:tcMar>
              <w:top w:type="dxa" w:w="60"/>
              <w:left w:type="dxa" w:w="100"/>
              <w:bottom w:type="dxa" w:w="60"/>
              <w:right w:type="dxa" w:w="100"/>
            </w:tcMar>
          </w:tcPr>
          <w:p>
            <w:r>
              <w:rPr>
                <w:sz w:val="18"/>
                <w:szCs w:val="18"/>
              </w:rPr>
              <w:t xml:space="preserve">Live — wired to index.html</w:t>
            </w:r>
          </w:p>
        </w:tc>
        <w:tc>
          <w:tcPr>
            <w:tcW w:type="dxa" w:w="3000"/>
            <w:tcMar>
              <w:top w:type="dxa" w:w="60"/>
              <w:left w:type="dxa" w:w="100"/>
              <w:bottom w:type="dxa" w:w="60"/>
              <w:right w:type="dxa" w:w="100"/>
            </w:tcMar>
          </w:tcPr>
          <w:p>
            <w:r>
              <w:rPr>
                <w:sz w:val="18"/>
                <w:szCs w:val="18"/>
              </w:rPr>
              <w:t xml:space="preserve">Registered account email; check the Sentry status page</w:t>
            </w:r>
          </w:p>
        </w:tc>
      </w:tr>
      <w:tr>
        <w:tc>
          <w:tcPr>
            <w:tcW w:type="dxa" w:w="1600"/>
            <w:tcMar>
              <w:top w:type="dxa" w:w="60"/>
              <w:left w:type="dxa" w:w="100"/>
              <w:bottom w:type="dxa" w:w="60"/>
              <w:right w:type="dxa" w:w="100"/>
            </w:tcMar>
          </w:tcPr>
          <w:p>
            <w:r>
              <w:rPr>
                <w:sz w:val="18"/>
                <w:szCs w:val="18"/>
              </w:rPr>
              <w:t xml:space="preserve">Zoho Mail</w:t>
            </w:r>
          </w:p>
        </w:tc>
        <w:tc>
          <w:tcPr>
            <w:tcW w:type="dxa" w:w="2400"/>
            <w:tcMar>
              <w:top w:type="dxa" w:w="60"/>
              <w:left w:type="dxa" w:w="100"/>
              <w:bottom w:type="dxa" w:w="60"/>
              <w:right w:type="dxa" w:w="100"/>
            </w:tcMar>
          </w:tcPr>
          <w:p>
            <w:r>
              <w:rPr>
                <w:sz w:val="18"/>
                <w:szCs w:val="18"/>
              </w:rPr>
              <w:t xml:space="preserve">hello@buildnewhabits.co.uk mailbox</w:t>
            </w:r>
          </w:p>
        </w:tc>
        <w:tc>
          <w:tcPr>
            <w:tcW w:type="dxa" w:w="2200"/>
            <w:tcMar>
              <w:top w:type="dxa" w:w="60"/>
              <w:left w:type="dxa" w:w="100"/>
              <w:bottom w:type="dxa" w:w="60"/>
              <w:right w:type="dxa" w:w="100"/>
            </w:tcMar>
          </w:tcPr>
          <w:p>
            <w:r>
              <w:rPr>
                <w:sz w:val="18"/>
                <w:szCs w:val="18"/>
              </w:rPr>
              <w:t xml:space="preserve">Live</w:t>
            </w:r>
          </w:p>
        </w:tc>
        <w:tc>
          <w:tcPr>
            <w:tcW w:type="dxa" w:w="3000"/>
            <w:tcMar>
              <w:top w:type="dxa" w:w="60"/>
              <w:left w:type="dxa" w:w="100"/>
              <w:bottom w:type="dxa" w:w="60"/>
              <w:right w:type="dxa" w:w="100"/>
            </w:tcMar>
          </w:tcPr>
          <w:p>
            <w:r>
              <w:rPr>
                <w:sz w:val="18"/>
                <w:szCs w:val="18"/>
              </w:rPr>
              <w:t xml:space="preserve">Zoho account notices</w:t>
            </w:r>
          </w:p>
        </w:tc>
      </w:tr>
      <w:tr>
        <w:tc>
          <w:tcPr>
            <w:tcW w:type="dxa" w:w="1600"/>
            <w:tcMar>
              <w:top w:type="dxa" w:w="60"/>
              <w:left w:type="dxa" w:w="100"/>
              <w:bottom w:type="dxa" w:w="60"/>
              <w:right w:type="dxa" w:w="100"/>
            </w:tcMar>
          </w:tcPr>
          <w:p>
            <w:r>
              <w:rPr>
                <w:sz w:val="18"/>
                <w:szCs w:val="18"/>
              </w:rPr>
              <w:t xml:space="preserve">Kit (formerly ConvertKit)</w:t>
            </w:r>
          </w:p>
        </w:tc>
        <w:tc>
          <w:tcPr>
            <w:tcW w:type="dxa" w:w="2400"/>
            <w:tcMar>
              <w:top w:type="dxa" w:w="60"/>
              <w:left w:type="dxa" w:w="100"/>
              <w:bottom w:type="dxa" w:w="60"/>
              <w:right w:type="dxa" w:w="100"/>
            </w:tcMar>
          </w:tcPr>
          <w:p>
            <w:r>
              <w:rPr>
                <w:sz w:val="18"/>
                <w:szCs w:val="18"/>
              </w:rPr>
              <w:t xml:space="preserve">Email list subscribers</w:t>
            </w:r>
          </w:p>
        </w:tc>
        <w:tc>
          <w:tcPr>
            <w:tcW w:type="dxa" w:w="2200"/>
            <w:tcMar>
              <w:top w:type="dxa" w:w="60"/>
              <w:left w:type="dxa" w:w="100"/>
              <w:bottom w:type="dxa" w:w="60"/>
              <w:right w:type="dxa" w:w="100"/>
            </w:tcMar>
          </w:tcPr>
          <w:p>
            <w:r>
              <w:rPr>
                <w:sz w:val="18"/>
                <w:szCs w:val="18"/>
              </w:rPr>
              <w:t xml:space="preserve">Live, list building</w:t>
            </w:r>
          </w:p>
        </w:tc>
        <w:tc>
          <w:tcPr>
            <w:tcW w:type="dxa" w:w="3000"/>
            <w:tcMar>
              <w:top w:type="dxa" w:w="60"/>
              <w:left w:type="dxa" w:w="100"/>
              <w:bottom w:type="dxa" w:w="60"/>
              <w:right w:type="dxa" w:w="100"/>
            </w:tcMar>
          </w:tcPr>
          <w:p>
            <w:r>
              <w:rPr>
                <w:sz w:val="18"/>
                <w:szCs w:val="18"/>
              </w:rPr>
              <w:t xml:space="preserve">Kit account notices</w:t>
            </w:r>
          </w:p>
        </w:tc>
      </w:tr>
      <w:tr>
        <w:tc>
          <w:tcPr>
            <w:tcW w:type="dxa" w:w="1600"/>
            <w:tcMar>
              <w:top w:type="dxa" w:w="60"/>
              <w:left w:type="dxa" w:w="100"/>
              <w:bottom w:type="dxa" w:w="60"/>
              <w:right w:type="dxa" w:w="100"/>
            </w:tcMar>
          </w:tcPr>
          <w:p>
            <w:r>
              <w:rPr>
                <w:sz w:val="18"/>
                <w:szCs w:val="18"/>
              </w:rPr>
              <w:t xml:space="preserve">GitHub (Pages)</w:t>
            </w:r>
          </w:p>
        </w:tc>
        <w:tc>
          <w:tcPr>
            <w:tcW w:type="dxa" w:w="2400"/>
            <w:tcMar>
              <w:top w:type="dxa" w:w="60"/>
              <w:left w:type="dxa" w:w="100"/>
              <w:bottom w:type="dxa" w:w="60"/>
              <w:right w:type="dxa" w:w="100"/>
            </w:tcMar>
          </w:tcPr>
          <w:p>
            <w:r>
              <w:rPr>
                <w:sz w:val="18"/>
                <w:szCs w:val="18"/>
              </w:rPr>
              <w:t xml:space="preserve">Static site hosting; repository</w:t>
            </w:r>
          </w:p>
        </w:tc>
        <w:tc>
          <w:tcPr>
            <w:tcW w:type="dxa" w:w="2200"/>
            <w:tcMar>
              <w:top w:type="dxa" w:w="60"/>
              <w:left w:type="dxa" w:w="100"/>
              <w:bottom w:type="dxa" w:w="60"/>
              <w:right w:type="dxa" w:w="100"/>
            </w:tcMar>
          </w:tcPr>
          <w:p>
            <w:r>
              <w:rPr>
                <w:sz w:val="18"/>
                <w:szCs w:val="18"/>
              </w:rPr>
              <w:t xml:space="preserve">Live</w:t>
            </w:r>
          </w:p>
        </w:tc>
        <w:tc>
          <w:tcPr>
            <w:tcW w:type="dxa" w:w="3000"/>
            <w:tcMar>
              <w:top w:type="dxa" w:w="60"/>
              <w:left w:type="dxa" w:w="100"/>
              <w:bottom w:type="dxa" w:w="60"/>
              <w:right w:type="dxa" w:w="100"/>
            </w:tcMar>
          </w:tcPr>
          <w:p>
            <w:r>
              <w:rPr>
                <w:sz w:val="18"/>
                <w:szCs w:val="18"/>
              </w:rPr>
              <w:t xml:space="preserve">GitHub security advisories to account email</w:t>
            </w:r>
          </w:p>
        </w:tc>
      </w:tr>
      <w:tr>
        <w:tc>
          <w:tcPr>
            <w:tcW w:type="dxa" w:w="1600"/>
            <w:tcMar>
              <w:top w:type="dxa" w:w="60"/>
              <w:left w:type="dxa" w:w="100"/>
              <w:bottom w:type="dxa" w:w="60"/>
              <w:right w:type="dxa" w:w="100"/>
            </w:tcMar>
          </w:tcPr>
          <w:p>
            <w:r>
              <w:rPr>
                <w:sz w:val="18"/>
                <w:szCs w:val="18"/>
              </w:rPr>
              <w:t xml:space="preserve">Supabase (eu-central-1)</w:t>
            </w:r>
          </w:p>
        </w:tc>
        <w:tc>
          <w:tcPr>
            <w:tcW w:type="dxa" w:w="2400"/>
            <w:tcMar>
              <w:top w:type="dxa" w:w="60"/>
              <w:left w:type="dxa" w:w="100"/>
              <w:bottom w:type="dxa" w:w="60"/>
              <w:right w:type="dxa" w:w="100"/>
            </w:tcMar>
          </w:tcPr>
          <w:p>
            <w:r>
              <w:rPr>
                <w:sz w:val="18"/>
                <w:szCs w:val="18"/>
              </w:rPr>
              <w:t xml:space="preserve">Full coaching data sync</w:t>
            </w:r>
          </w:p>
        </w:tc>
        <w:tc>
          <w:tcPr>
            <w:tcW w:type="dxa" w:w="2200"/>
            <w:tcMar>
              <w:top w:type="dxa" w:w="60"/>
              <w:left w:type="dxa" w:w="100"/>
              <w:bottom w:type="dxa" w:w="60"/>
              <w:right w:type="dxa" w:w="100"/>
            </w:tcMar>
          </w:tcPr>
          <w:p>
            <w:r>
              <w:rPr>
                <w:sz w:val="18"/>
                <w:szCs w:val="18"/>
              </w:rPr>
              <w:t xml:space="preserve">Not yet live — add before go-live</w:t>
            </w:r>
          </w:p>
        </w:tc>
        <w:tc>
          <w:tcPr>
            <w:tcW w:type="dxa" w:w="3000"/>
            <w:tcMar>
              <w:top w:type="dxa" w:w="60"/>
              <w:left w:type="dxa" w:w="100"/>
              <w:bottom w:type="dxa" w:w="60"/>
              <w:right w:type="dxa" w:w="100"/>
            </w:tcMar>
          </w:tcPr>
          <w:p>
            <w:r>
              <w:rPr>
                <w:sz w:val="18"/>
                <w:szCs w:val="18"/>
              </w:rPr>
              <w:t xml:space="preserve">Supabase account notices</w:t>
            </w:r>
          </w:p>
        </w:tc>
      </w:tr>
      <w:tr>
        <w:tc>
          <w:tcPr>
            <w:tcW w:type="dxa" w:w="1600"/>
            <w:tcMar>
              <w:top w:type="dxa" w:w="60"/>
              <w:left w:type="dxa" w:w="100"/>
              <w:bottom w:type="dxa" w:w="60"/>
              <w:right w:type="dxa" w:w="100"/>
            </w:tcMar>
          </w:tcPr>
          <w:p>
            <w:r>
              <w:rPr>
                <w:sz w:val="18"/>
                <w:szCs w:val="18"/>
              </w:rPr>
              <w:t xml:space="preserve">Stripe</w:t>
            </w:r>
          </w:p>
        </w:tc>
        <w:tc>
          <w:tcPr>
            <w:tcW w:type="dxa" w:w="2400"/>
            <w:tcMar>
              <w:top w:type="dxa" w:w="60"/>
              <w:left w:type="dxa" w:w="100"/>
              <w:bottom w:type="dxa" w:w="60"/>
              <w:right w:type="dxa" w:w="100"/>
            </w:tcMar>
          </w:tcPr>
          <w:p>
            <w:r>
              <w:rPr>
                <w:sz w:val="18"/>
                <w:szCs w:val="18"/>
              </w:rPr>
              <w:t xml:space="preserve">Payment data</w:t>
            </w:r>
          </w:p>
        </w:tc>
        <w:tc>
          <w:tcPr>
            <w:tcW w:type="dxa" w:w="2200"/>
            <w:tcMar>
              <w:top w:type="dxa" w:w="60"/>
              <w:left w:type="dxa" w:w="100"/>
              <w:bottom w:type="dxa" w:w="60"/>
              <w:right w:type="dxa" w:w="100"/>
            </w:tcMar>
          </w:tcPr>
          <w:p>
            <w:r>
              <w:rPr>
                <w:sz w:val="18"/>
                <w:szCs w:val="18"/>
              </w:rPr>
              <w:t xml:space="preserve">Not yet live — add before go-live</w:t>
            </w:r>
          </w:p>
        </w:tc>
        <w:tc>
          <w:tcPr>
            <w:tcW w:type="dxa" w:w="3000"/>
            <w:tcMar>
              <w:top w:type="dxa" w:w="60"/>
              <w:left w:type="dxa" w:w="100"/>
              <w:bottom w:type="dxa" w:w="60"/>
              <w:right w:type="dxa" w:w="100"/>
            </w:tcMar>
          </w:tcPr>
          <w:p>
            <w:r>
              <w:rPr>
                <w:sz w:val="18"/>
                <w:szCs w:val="18"/>
              </w:rPr>
              <w:t xml:space="preserve">Stripe account notices</w:t>
            </w:r>
          </w:p>
        </w:tc>
      </w:tr>
    </w:tbl>
    <w:p>
      <w:pPr>
        <w:spacing w:after="120"/>
      </w:pPr>
      <w:r>
        <w:t xml:space="preserve">Written Article 28 terms with each live processor are a separate pre-beta requirement recorded in the compliance register (28 Aug 2026); this procedure assumes they exist and does not substitute for them.</w:t>
      </w:r>
    </w:p>
    <w:p>
      <w:pPr>
        <w:pStyle w:val="Heading1"/>
        <w:spacing w:after="120" w:before="240"/>
      </w:pPr>
      <w:r>
        <w:t xml:space="preserve">9. Known gap — recorded, not hidden</w:t>
      </w:r>
    </w:p>
    <w:p>
      <w:pPr>
        <w:spacing w:after="120"/>
      </w:pPr>
      <w:r>
        <w:t xml:space="preserve">R12 in the DPIA remains open: who acts on this procedure if Graeme cannot. Until it is answered, this procedure has a single point of failure and says so. The 72-hour clock does not pause for incapacity.</w:t>
      </w:r>
    </w:p>
    <w:p>
      <w:pPr>
        <w:pStyle w:val="Heading1"/>
        <w:spacing w:after="120" w:before="240"/>
      </w:pPr>
      <w:r>
        <w:t xml:space="preserve">10. Adoption and review</w:t>
      </w:r>
    </w:p>
    <w:p>
      <w:pPr>
        <w:spacing w:after="120"/>
      </w:pPr>
      <w:r>
        <w:t xml:space="preserve">Adopted by: Graeme Wright, founder, Build New Habits (sole trader).</w:t>
      </w:r>
    </w:p>
    <w:p>
      <w:pPr>
        <w:spacing w:after="120"/>
      </w:pPr>
      <w:r>
        <w:t xml:space="preserve">Date: ____________________  Signature: ____________________</w:t>
      </w:r>
    </w:p>
    <w:p>
      <w:pPr>
        <w:spacing w:after="120"/>
      </w:pPr>
      <w:r>
        <w:rPr>
          <w:i/>
          <w:iCs/>
        </w:rPr>
        <w:t xml:space="preserve">Reviewed: before beta opens (mid-September 2026), then every six months, and after any actual incident.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2026-08-28T16:00:38.645Z</dcterms:created>
  <dcterms:modified xsi:type="dcterms:W3CDTF">2026-08-28T16:00:38.645Z</dcterms:modified>
</cp:coreProperties>
</file>

<file path=docProps/custom.xml><?xml version="1.0" encoding="utf-8"?>
<Properties xmlns="http://schemas.openxmlformats.org/officeDocument/2006/custom-properties" xmlns:vt="http://schemas.openxmlformats.org/officeDocument/2006/docPropsVTypes"/>
</file>