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2"/>
          <w:szCs w:val="22"/>
        </w:rPr>
        <w:t xml:space="preserve">BUILD NEW HABITS</w:t>
      </w:r>
    </w:p>
    <w:p>
      <w:pPr>
        <w:spacing w:after="60"/>
        <w:jc w:val="center"/>
      </w:pPr>
      <w:r>
        <w:rPr>
          <w:sz w:val="22"/>
          <w:szCs w:val="22"/>
        </w:rPr>
        <w:t xml:space="preserve">Alongside: Move</w:t>
      </w:r>
    </w:p>
    <w:p>
      <w:pPr>
        <w:spacing w:after="60"/>
        <w:jc w:val="center"/>
      </w:pPr>
      <w:r>
        <w:rPr>
          <w:b/>
          <w:bCs/>
          <w:sz w:val="32"/>
          <w:szCs w:val="32"/>
        </w:rPr>
        <w:t xml:space="preserve">Data Protection Complaints Procedure</w:t>
      </w:r>
    </w:p>
    <w:p>
      <w:pPr>
        <w:spacing w:after="60"/>
        <w:jc w:val="center"/>
      </w:pPr>
      <w:r>
        <w:rPr>
          <w:b/>
          <w:bCs/>
          <w:sz w:val="24"/>
          <w:szCs w:val="24"/>
        </w:rPr>
        <w:t xml:space="preserve">28 Aug 2026 v1</w:t>
      </w:r>
    </w:p>
    <w:p>
      <w:pPr>
        <w:spacing w:after="240"/>
        <w:jc w:val="center"/>
      </w:pPr>
      <w:r>
        <w:rPr>
          <w:i/>
          <w:iCs/>
          <w:sz w:val="20"/>
          <w:szCs w:val="20"/>
        </w:rPr>
        <w:t xml:space="preserve">Data (Use and Access) Act 2025, section 164A — in force 19 June 2026</w:t>
      </w:r>
    </w:p>
    <w:p>
      <w:pPr>
        <w:pBdr>
          <w:top w:val="single" w:color="B8860B" w:sz="4"/>
          <w:bottom w:val="single" w:color="B8860B" w:sz="4"/>
        </w:pBdr>
        <w:shd w:fill="FFF3CD" w:val="clear"/>
        <w:spacing w:after="240"/>
      </w:pPr>
      <w:r>
        <w:rPr>
          <w:sz w:val="18"/>
          <w:szCs w:val="18"/>
        </w:rPr>
        <w:t xml:space="preserve">DRAFT — prepared for Graeme Wright’s review and adoption, and for validation by Foot Anstey. Every product claim in this document is traceable to a code path, gate, or repository artefact, per the standing rule of 28 Aug 2026. Nothing here describes an intention as though it were a fact; where a control is built but not yet live, that is stated.</w:t>
      </w:r>
    </w:p>
    <w:p>
      <w:pPr>
        <w:pStyle w:val="Heading1"/>
        <w:spacing w:after="120" w:before="240"/>
      </w:pPr>
      <w:r>
        <w:t xml:space="preserve">1. Purpose</w:t>
      </w:r>
    </w:p>
    <w:p>
      <w:pPr>
        <w:spacing w:after="120"/>
      </w:pPr>
      <w:r>
        <w:t xml:space="preserve">Section 164A of the Data (Use and Access) Act 2025, in force since 19 June 2026, requires every controller — with no exemptions and no size threshold — to facilitate the making of data protection complaints, acknowledge them within 30 days, respond without undue delay, and keep records. The previous privacy policy pointed complainants only at the ICO, which does not meet the duty. This procedure does.</w:t>
      </w:r>
    </w:p>
    <w:p>
      <w:pPr>
        <w:pStyle w:val="Heading1"/>
        <w:spacing w:after="120" w:before="240"/>
      </w:pPr>
      <w:r>
        <w:t xml:space="preserve">2. Scope</w:t>
      </w:r>
    </w:p>
    <w:p>
      <w:pPr>
        <w:spacing w:after="120"/>
      </w:pPr>
      <w:r>
        <w:t xml:space="preserve">This procedure covers complaints about how Build New Habits (trading as Alongside) handles personal data: collection, use, accuracy, retention, security, rights requests, or anything else within UK data protection law. General product feedback is welcome through the same address but is not a data protection complaint and is handled outside this procedure.</w:t>
      </w:r>
    </w:p>
    <w:p>
      <w:pPr>
        <w:pStyle w:val="Heading1"/>
        <w:spacing w:after="120" w:before="240"/>
      </w:pPr>
      <w:r>
        <w:t xml:space="preserve">3. How to complain</w:t>
      </w:r>
    </w:p>
    <w:p>
      <w:pPr>
        <w:pStyle w:val="ListParagraph"/>
        <w:numPr>
          <w:ilvl w:val="0"/>
          <w:numId w:val="2"/>
        </w:numPr>
        <w:spacing w:after="60"/>
      </w:pPr>
      <w:r>
        <w:t xml:space="preserve">Email hello@buildnewhabits.co.uk with the subject line “Data protection complaint”, or any wording that makes clear it concerns personal data.</w:t>
      </w:r>
    </w:p>
    <w:p>
      <w:pPr>
        <w:pStyle w:val="ListParagraph"/>
        <w:numPr>
          <w:ilvl w:val="0"/>
          <w:numId w:val="2"/>
        </w:numPr>
        <w:spacing w:after="60"/>
      </w:pPr>
      <w:r>
        <w:t xml:space="preserve">No form is required. A complaint does not need to cite the law to count.</w:t>
      </w:r>
    </w:p>
    <w:p>
      <w:pPr>
        <w:pStyle w:val="ListParagraph"/>
        <w:numPr>
          <w:ilvl w:val="0"/>
          <w:numId w:val="2"/>
        </w:numPr>
        <w:spacing w:after="60"/>
      </w:pPr>
      <w:r>
        <w:t xml:space="preserve">This route is published in the Privacy Policy (v5, section on complaints) and on the website’s contact points.</w:t>
      </w:r>
    </w:p>
    <w:p>
      <w:pPr>
        <w:pStyle w:val="Heading1"/>
        <w:spacing w:after="120" w:before="240"/>
      </w:pPr>
      <w:r>
        <w:t xml:space="preserve">4. What happens, and when</w:t>
      </w:r>
    </w:p>
    <w:p>
      <w:pPr>
        <w:pStyle w:val="ListParagraph"/>
        <w:numPr>
          <w:ilvl w:val="0"/>
          <w:numId w:val="2"/>
        </w:numPr>
        <w:spacing w:after="60"/>
      </w:pPr>
      <w:r>
        <w:rPr>
          <w:b/>
          <w:bCs/>
        </w:rPr>
        <w:t xml:space="preserve">Acknowledgement within 30 days of receipt </w:t>
      </w:r>
      <w:r>
        <w:t xml:space="preserve">— the statutory maximum; in practice within 5 working days. The acknowledgement confirms receipt, summarises the complaint as understood, and gives an expected response date.</w:t>
      </w:r>
    </w:p>
    <w:p>
      <w:pPr>
        <w:pStyle w:val="ListParagraph"/>
        <w:numPr>
          <w:ilvl w:val="0"/>
          <w:numId w:val="2"/>
        </w:numPr>
        <w:spacing w:after="60"/>
      </w:pPr>
      <w:r>
        <w:rPr>
          <w:b/>
          <w:bCs/>
        </w:rPr>
        <w:t xml:space="preserve">Investigation </w:t>
      </w:r>
      <w:r>
        <w:t xml:space="preserve">— establish the facts against the records (the ROPA, the breach log, the rights-request record, the code itself where the complaint concerns product behaviour).</w:t>
      </w:r>
    </w:p>
    <w:p>
      <w:pPr>
        <w:pStyle w:val="ListParagraph"/>
        <w:numPr>
          <w:ilvl w:val="0"/>
          <w:numId w:val="2"/>
        </w:numPr>
        <w:spacing w:after="60"/>
      </w:pPr>
      <w:r>
        <w:rPr>
          <w:b/>
          <w:bCs/>
        </w:rPr>
        <w:t xml:space="preserve">Response without undue delay </w:t>
      </w:r>
      <w:r>
        <w:t xml:space="preserve">— target 30 days from acknowledgement; if it will take longer, say so before the target passes and explain why. The response states the outcome, what has been or will be changed, and the complainant’s onward rights.</w:t>
      </w:r>
    </w:p>
    <w:p>
      <w:pPr>
        <w:pStyle w:val="ListParagraph"/>
        <w:numPr>
          <w:ilvl w:val="0"/>
          <w:numId w:val="2"/>
        </w:numPr>
        <w:spacing w:after="60"/>
      </w:pPr>
      <w:r>
        <w:rPr>
          <w:b/>
          <w:bCs/>
        </w:rPr>
        <w:t xml:space="preserve">Onward rights, always stated: </w:t>
      </w:r>
      <w:r>
        <w:t xml:space="preserve">the right to complain to the ICO (ico.org.uk, 0303 123 1113) is unaffected by this procedure, at any stage, and the response says so in plain words.</w:t>
      </w:r>
    </w:p>
    <w:p>
      <w:pPr>
        <w:pStyle w:val="Heading1"/>
        <w:spacing w:after="120" w:before="240"/>
      </w:pPr>
      <w:r>
        <w:t xml:space="preserve">5. Templates</w:t>
      </w:r>
    </w:p>
    <w:p>
      <w:pPr>
        <w:pStyle w:val="Heading2"/>
        <w:spacing w:after="100" w:before="200"/>
      </w:pPr>
      <w:r>
        <w:t xml:space="preserve">Acknowledgement</w:t>
      </w:r>
    </w:p>
    <w:p>
      <w:pPr>
        <w:spacing w:after="120"/>
      </w:pPr>
      <w:r>
        <w:rPr>
          <w:i/>
          <w:iCs/>
        </w:rPr>
        <w:t xml:space="preserve">“Thank you for your complaint received on [date]. I understand your concern to be: [one-sentence summary]. I am the person responsible for data protection at Build New Habits and will look into this personally. You can expect a full response by [date]. Your right to raise this with the ICO at any time is unaffected.”</w:t>
      </w:r>
    </w:p>
    <w:p>
      <w:pPr>
        <w:pStyle w:val="Heading2"/>
        <w:spacing w:after="100" w:before="200"/>
      </w:pPr>
      <w:r>
        <w:t xml:space="preserve">Response</w:t>
      </w:r>
    </w:p>
    <w:p>
      <w:pPr>
        <w:spacing w:after="120"/>
      </w:pPr>
      <w:r>
        <w:rPr>
          <w:i/>
          <w:iCs/>
        </w:rPr>
        <w:t xml:space="preserve">“Having looked into your complaint of [date]: [findings, plainly]. [What has changed / why nothing needs to change]. If you are not satisfied, you can contact the Information Commissioner’s Office at ico.org.uk or on 0303 123 1113. Thank you for raising it — complaints are how problems get found.”</w:t>
      </w:r>
    </w:p>
    <w:p>
      <w:pPr>
        <w:pStyle w:val="Heading1"/>
        <w:spacing w:after="120" w:before="240"/>
      </w:pPr>
      <w:r>
        <w:t xml:space="preserve">6. The complaints log</w:t>
      </w:r>
    </w:p>
    <w:p>
      <w:pPr>
        <w:spacing w:after="120"/>
      </w:pPr>
      <w:r>
        <w:t xml:space="preserve">Kept at Documents/Business/complaints_log.md (or successor private location). Every complaint gets a row, kept for at least three years: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000"/>
        <w:gridCol w:w="1300"/>
        <w:gridCol w:w="1300"/>
        <w:gridCol w:w="1300"/>
        <w:gridCol w:w="1300"/>
      </w:tblGrid>
      <w:tr>
        <w:tc>
          <w:tcPr>
            <w:tcW w:type="dxa" w:w="1200"/>
            <w:shd w:fill="E8E8E8" w:val="clear"/>
            <w:tcMar>
              <w:top w:type="dxa" w:w="60"/>
              <w:left w:type="dxa" w:w="100"/>
              <w:bottom w:type="dxa" w:w="60"/>
              <w:right w:type="dxa" w:w="100"/>
            </w:tcMar>
          </w:tcPr>
          <w:p>
            <w:r>
              <w:rPr>
                <w:b/>
                <w:bCs/>
                <w:sz w:val="18"/>
                <w:szCs w:val="18"/>
              </w:rPr>
              <w:t xml:space="preserve">Date received</w:t>
            </w:r>
          </w:p>
        </w:tc>
        <w:tc>
          <w:tcPr>
            <w:tcW w:type="dxa" w:w="1200"/>
            <w:shd w:fill="E8E8E8" w:val="clear"/>
            <w:tcMar>
              <w:top w:type="dxa" w:w="60"/>
              <w:left w:type="dxa" w:w="100"/>
              <w:bottom w:type="dxa" w:w="60"/>
              <w:right w:type="dxa" w:w="100"/>
            </w:tcMar>
          </w:tcPr>
          <w:p>
            <w:r>
              <w:rPr>
                <w:b/>
                <w:bCs/>
                <w:sz w:val="18"/>
                <w:szCs w:val="18"/>
              </w:rPr>
              <w:t xml:space="preserve">Complainant (initials)</w:t>
            </w:r>
          </w:p>
        </w:tc>
        <w:tc>
          <w:tcPr>
            <w:tcW w:type="dxa" w:w="2000"/>
            <w:shd w:fill="E8E8E8" w:val="clear"/>
            <w:tcMar>
              <w:top w:type="dxa" w:w="60"/>
              <w:left w:type="dxa" w:w="100"/>
              <w:bottom w:type="dxa" w:w="60"/>
              <w:right w:type="dxa" w:w="100"/>
            </w:tcMar>
          </w:tcPr>
          <w:p>
            <w:r>
              <w:rPr>
                <w:b/>
                <w:bCs/>
                <w:sz w:val="18"/>
                <w:szCs w:val="18"/>
              </w:rPr>
              <w:t xml:space="preserve">Summary</w:t>
            </w:r>
          </w:p>
        </w:tc>
        <w:tc>
          <w:tcPr>
            <w:tcW w:type="dxa" w:w="1300"/>
            <w:shd w:fill="E8E8E8" w:val="clear"/>
            <w:tcMar>
              <w:top w:type="dxa" w:w="60"/>
              <w:left w:type="dxa" w:w="100"/>
              <w:bottom w:type="dxa" w:w="60"/>
              <w:right w:type="dxa" w:w="100"/>
            </w:tcMar>
          </w:tcPr>
          <w:p>
            <w:r>
              <w:rPr>
                <w:b/>
                <w:bCs/>
                <w:sz w:val="18"/>
                <w:szCs w:val="18"/>
              </w:rPr>
              <w:t xml:space="preserve">Acknowledged (date)</w:t>
            </w:r>
          </w:p>
        </w:tc>
        <w:tc>
          <w:tcPr>
            <w:tcW w:type="dxa" w:w="1300"/>
            <w:shd w:fill="E8E8E8" w:val="clear"/>
            <w:tcMar>
              <w:top w:type="dxa" w:w="60"/>
              <w:left w:type="dxa" w:w="100"/>
              <w:bottom w:type="dxa" w:w="60"/>
              <w:right w:type="dxa" w:w="100"/>
            </w:tcMar>
          </w:tcPr>
          <w:p>
            <w:r>
              <w:rPr>
                <w:b/>
                <w:bCs/>
                <w:sz w:val="18"/>
                <w:szCs w:val="18"/>
              </w:rPr>
              <w:t xml:space="preserve">Response sent (date)</w:t>
            </w:r>
          </w:p>
        </w:tc>
        <w:tc>
          <w:tcPr>
            <w:tcW w:type="dxa" w:w="1300"/>
            <w:shd w:fill="E8E8E8" w:val="clear"/>
            <w:tcMar>
              <w:top w:type="dxa" w:w="60"/>
              <w:left w:type="dxa" w:w="100"/>
              <w:bottom w:type="dxa" w:w="60"/>
              <w:right w:type="dxa" w:w="100"/>
            </w:tcMar>
          </w:tcPr>
          <w:p>
            <w:r>
              <w:rPr>
                <w:b/>
                <w:bCs/>
                <w:sz w:val="18"/>
                <w:szCs w:val="18"/>
              </w:rPr>
              <w:t xml:space="preserve">Outcome</w:t>
            </w:r>
          </w:p>
        </w:tc>
        <w:tc>
          <w:tcPr>
            <w:tcW w:type="dxa" w:w="1300"/>
            <w:shd w:fill="E8E8E8" w:val="clear"/>
            <w:tcMar>
              <w:top w:type="dxa" w:w="60"/>
              <w:left w:type="dxa" w:w="100"/>
              <w:bottom w:type="dxa" w:w="60"/>
              <w:right w:type="dxa" w:w="100"/>
            </w:tcMar>
          </w:tcPr>
          <w:p>
            <w:r>
              <w:rPr>
                <w:b/>
                <w:bCs/>
                <w:sz w:val="18"/>
                <w:szCs w:val="18"/>
              </w:rPr>
              <w:t xml:space="preserve">Change made</w:t>
            </w:r>
          </w:p>
        </w:tc>
      </w:tr>
      <w:tr>
        <w:tc>
          <w:tcPr>
            <w:tcW w:type="dxa" w:w="1200"/>
            <w:tcMar>
              <w:top w:type="dxa" w:w="60"/>
              <w:left w:type="dxa" w:w="100"/>
              <w:bottom w:type="dxa" w:w="60"/>
              <w:right w:type="dxa" w:w="100"/>
            </w:tcMar>
          </w:tcPr>
          <w:p>
            <w:r>
              <w:rPr>
                <w:sz w:val="18"/>
                <w:szCs w:val="18"/>
              </w:rPr>
              <w:t xml:space="preserve"/>
            </w:r>
          </w:p>
        </w:tc>
        <w:tc>
          <w:tcPr>
            <w:tcW w:type="dxa" w:w="1200"/>
            <w:tcMar>
              <w:top w:type="dxa" w:w="60"/>
              <w:left w:type="dxa" w:w="100"/>
              <w:bottom w:type="dxa" w:w="60"/>
              <w:right w:type="dxa" w:w="100"/>
            </w:tcMar>
          </w:tcPr>
          <w:p>
            <w:r>
              <w:rPr>
                <w:sz w:val="18"/>
                <w:szCs w:val="18"/>
              </w:rPr>
              <w:t xml:space="preserve"/>
            </w:r>
          </w:p>
        </w:tc>
        <w:tc>
          <w:tcPr>
            <w:tcW w:type="dxa" w:w="2000"/>
            <w:tcMar>
              <w:top w:type="dxa" w:w="60"/>
              <w:left w:type="dxa" w:w="100"/>
              <w:bottom w:type="dxa" w:w="60"/>
              <w:right w:type="dxa" w:w="100"/>
            </w:tcMar>
          </w:tcPr>
          <w:p>
            <w:r>
              <w:rPr>
                <w:sz w:val="18"/>
                <w:szCs w:val="18"/>
              </w:rPr>
              <w:t xml:space="preserve"/>
            </w:r>
          </w:p>
        </w:tc>
        <w:tc>
          <w:tcPr>
            <w:tcW w:type="dxa" w:w="1300"/>
            <w:tcMar>
              <w:top w:type="dxa" w:w="60"/>
              <w:left w:type="dxa" w:w="100"/>
              <w:bottom w:type="dxa" w:w="60"/>
              <w:right w:type="dxa" w:w="100"/>
            </w:tcMar>
          </w:tcPr>
          <w:p>
            <w:r>
              <w:rPr>
                <w:sz w:val="18"/>
                <w:szCs w:val="18"/>
              </w:rPr>
              <w:t xml:space="preserve"/>
            </w:r>
          </w:p>
        </w:tc>
        <w:tc>
          <w:tcPr>
            <w:tcW w:type="dxa" w:w="1300"/>
            <w:tcMar>
              <w:top w:type="dxa" w:w="60"/>
              <w:left w:type="dxa" w:w="100"/>
              <w:bottom w:type="dxa" w:w="60"/>
              <w:right w:type="dxa" w:w="100"/>
            </w:tcMar>
          </w:tcPr>
          <w:p>
            <w:r>
              <w:rPr>
                <w:sz w:val="18"/>
                <w:szCs w:val="18"/>
              </w:rPr>
              <w:t xml:space="preserve"/>
            </w:r>
          </w:p>
        </w:tc>
        <w:tc>
          <w:tcPr>
            <w:tcW w:type="dxa" w:w="1300"/>
            <w:tcMar>
              <w:top w:type="dxa" w:w="60"/>
              <w:left w:type="dxa" w:w="100"/>
              <w:bottom w:type="dxa" w:w="60"/>
              <w:right w:type="dxa" w:w="100"/>
            </w:tcMar>
          </w:tcPr>
          <w:p>
            <w:r>
              <w:rPr>
                <w:sz w:val="18"/>
                <w:szCs w:val="18"/>
              </w:rPr>
              <w:t xml:space="preserve"/>
            </w:r>
          </w:p>
        </w:tc>
        <w:tc>
          <w:tcPr>
            <w:tcW w:type="dxa" w:w="1300"/>
            <w:tcMar>
              <w:top w:type="dxa" w:w="60"/>
              <w:left w:type="dxa" w:w="100"/>
              <w:bottom w:type="dxa" w:w="60"/>
              <w:right w:type="dxa" w:w="100"/>
            </w:tcMar>
          </w:tcPr>
          <w:p>
            <w:r>
              <w:rPr>
                <w:sz w:val="18"/>
                <w:szCs w:val="18"/>
              </w:rPr>
              <w:t xml:space="preserve"/>
            </w:r>
          </w:p>
        </w:tc>
      </w:tr>
    </w:tbl>
    <w:p>
      <w:pPr>
        <w:pStyle w:val="Heading1"/>
        <w:spacing w:after="120" w:before="240"/>
      </w:pPr>
      <w:r>
        <w:t xml:space="preserve">7. Adoption and review</w:t>
      </w:r>
    </w:p>
    <w:p>
      <w:pPr>
        <w:spacing w:after="120"/>
      </w:pPr>
      <w:r>
        <w:t xml:space="preserve">Adopted by: Graeme Wright, founder, Build New Habits (sole trader).</w:t>
      </w:r>
    </w:p>
    <w:p>
      <w:pPr>
        <w:spacing w:after="120"/>
      </w:pPr>
      <w:r>
        <w:t xml:space="preserve">Date: ____________________  Signature: ____________________</w:t>
      </w:r>
    </w:p>
    <w:p>
      <w:pPr>
        <w:spacing w:after="120"/>
      </w:pPr>
      <w:r>
        <w:rPr>
          <w:i/>
          <w:iCs/>
        </w:rPr>
        <w:t xml:space="preserve">Reviewed: before beta opens, then annually, and whenever the privacy policy is revised.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2026-08-28T16:00:38.694Z</dcterms:created>
  <dcterms:modified xsi:type="dcterms:W3CDTF">2026-08-28T16:00:38.694Z</dcterms:modified>
</cp:coreProperties>
</file>

<file path=docProps/custom.xml><?xml version="1.0" encoding="utf-8"?>
<Properties xmlns="http://schemas.openxmlformats.org/officeDocument/2006/custom-properties" xmlns:vt="http://schemas.openxmlformats.org/officeDocument/2006/docPropsVTypes"/>
</file>