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BUILD NEW HABITS</w:t>
      </w:r>
    </w:p>
    <w:p>
      <w:pPr>
        <w:spacing w:after="60"/>
        <w:jc w:val="center"/>
      </w:pPr>
      <w:r>
        <w:rPr>
          <w:sz w:val="22"/>
          <w:szCs w:val="22"/>
        </w:rPr>
        <w:t xml:space="preserve">Alongside: Move</w:t>
      </w:r>
    </w:p>
    <w:p>
      <w:pPr>
        <w:spacing w:after="60"/>
        <w:jc w:val="center"/>
      </w:pPr>
      <w:r>
        <w:rPr>
          <w:b/>
          <w:bCs/>
          <w:sz w:val="32"/>
          <w:szCs w:val="32"/>
        </w:rPr>
        <w:t xml:space="preserve">Record of Processing Activities (ROPA)</w:t>
      </w:r>
    </w:p>
    <w:p>
      <w:pPr>
        <w:spacing w:after="60"/>
        <w:jc w:val="center"/>
      </w:pPr>
      <w:r>
        <w:rPr>
          <w:b/>
          <w:bCs/>
          <w:sz w:val="24"/>
          <w:szCs w:val="24"/>
        </w:rPr>
        <w:t xml:space="preserve">28 Aug 2026 v1</w:t>
      </w:r>
    </w:p>
    <w:p>
      <w:pPr>
        <w:spacing w:after="240"/>
        <w:jc w:val="center"/>
      </w:pPr>
      <w:r>
        <w:rPr>
          <w:i/>
          <w:iCs/>
          <w:sz w:val="20"/>
          <w:szCs w:val="20"/>
        </w:rPr>
        <w:t xml:space="preserve">UK GDPR Article 30(1) — controller’s record</w:t>
      </w:r>
    </w:p>
    <w:p>
      <w:pPr>
        <w:pBdr>
          <w:top w:val="single" w:color="B8860B" w:sz="4"/>
          <w:bottom w:val="single" w:color="B8860B" w:sz="4"/>
        </w:pBdr>
        <w:shd w:fill="FFF3CD" w:val="clear"/>
        <w:spacing w:after="240"/>
      </w:pPr>
      <w:r>
        <w:rPr>
          <w:sz w:val="18"/>
          <w:szCs w:val="18"/>
        </w:rPr>
        <w:t xml:space="preserve">DRAFT — for Graeme Wright’s review and adoption, and Foot Anstey validation. The under-250-staff exemption does not apply: processing includes special category health data and is not occasional (DPIA, 28 Aug 2026). Rows describe what is live today; planned processing is marked PLANNED and must be moved to live — with retention and transfer entries completed — before it starts. Items marked TO CONFIRM are deliberately not guessed.</w:t>
      </w:r>
    </w:p>
    <w:p>
      <w:pPr>
        <w:pStyle w:val="Heading1"/>
        <w:spacing w:after="120" w:before="240"/>
      </w:pPr>
      <w:r>
        <w:t xml:space="preserve">1. Controller</w:t>
      </w:r>
    </w:p>
    <w:p>
      <w:pPr>
        <w:spacing w:after="120"/>
      </w:pPr>
      <w:r>
        <w:t xml:space="preserve">Graeme Wright, sole trader, trading as Build New Habits. Contact: hello@buildnewhabits.co.uk. No representative; no Data Protection Officer (not required — core activities do not constitute large-scale processing under Article 37, position to be confirmed with Foot Anstey). The controller is a sole trader, not a limited company; no document may state otherwise.</w:t>
      </w:r>
    </w:p>
    <w:p>
      <w:pPr>
        <w:pStyle w:val="Heading1"/>
        <w:spacing w:after="120" w:before="240"/>
      </w:pPr>
      <w:r>
        <w:t xml:space="preserve">2. Live processing activities</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1900"/>
        <w:gridCol w:w="1700"/>
        <w:gridCol w:w="1700"/>
        <w:gridCol w:w="2200"/>
      </w:tblGrid>
      <w:tr>
        <w:tc>
          <w:tcPr>
            <w:tcW w:type="dxa" w:w="1500"/>
            <w:shd w:fill="E8E8E8" w:val="clear"/>
            <w:tcMar>
              <w:top w:type="dxa" w:w="60"/>
              <w:left w:type="dxa" w:w="100"/>
              <w:bottom w:type="dxa" w:w="60"/>
              <w:right w:type="dxa" w:w="100"/>
            </w:tcMar>
          </w:tcPr>
          <w:p>
            <w:r>
              <w:rPr>
                <w:b/>
                <w:bCs/>
                <w:sz w:val="16"/>
                <w:szCs w:val="16"/>
              </w:rPr>
              <w:t xml:space="preserve">Activity</w:t>
            </w:r>
          </w:p>
        </w:tc>
        <w:tc>
          <w:tcPr>
            <w:tcW w:type="dxa" w:w="2400"/>
            <w:shd w:fill="E8E8E8" w:val="clear"/>
            <w:tcMar>
              <w:top w:type="dxa" w:w="60"/>
              <w:left w:type="dxa" w:w="100"/>
              <w:bottom w:type="dxa" w:w="60"/>
              <w:right w:type="dxa" w:w="100"/>
            </w:tcMar>
          </w:tcPr>
          <w:p>
            <w:r>
              <w:rPr>
                <w:b/>
                <w:bCs/>
                <w:sz w:val="16"/>
                <w:szCs w:val="16"/>
              </w:rPr>
              <w:t xml:space="preserve">Purpose and lawful basis</w:t>
            </w:r>
          </w:p>
        </w:tc>
        <w:tc>
          <w:tcPr>
            <w:tcW w:type="dxa" w:w="2600"/>
            <w:shd w:fill="E8E8E8" w:val="clear"/>
            <w:tcMar>
              <w:top w:type="dxa" w:w="60"/>
              <w:left w:type="dxa" w:w="100"/>
              <w:bottom w:type="dxa" w:w="60"/>
              <w:right w:type="dxa" w:w="100"/>
            </w:tcMar>
          </w:tcPr>
          <w:p>
            <w:r>
              <w:rPr>
                <w:b/>
                <w:bCs/>
                <w:sz w:val="16"/>
                <w:szCs w:val="16"/>
              </w:rPr>
              <w:t xml:space="preserve">Data subjects and data categories</w:t>
            </w:r>
          </w:p>
        </w:tc>
        <w:tc>
          <w:tcPr>
            <w:tcW w:type="dxa" w:w="1900"/>
            <w:shd w:fill="E8E8E8" w:val="clear"/>
            <w:tcMar>
              <w:top w:type="dxa" w:w="60"/>
              <w:left w:type="dxa" w:w="100"/>
              <w:bottom w:type="dxa" w:w="60"/>
              <w:right w:type="dxa" w:w="100"/>
            </w:tcMar>
          </w:tcPr>
          <w:p>
            <w:r>
              <w:rPr>
                <w:b/>
                <w:bCs/>
                <w:sz w:val="16"/>
                <w:szCs w:val="16"/>
              </w:rPr>
              <w:t xml:space="preserve">Recipients / processors</w:t>
            </w:r>
          </w:p>
        </w:tc>
        <w:tc>
          <w:tcPr>
            <w:tcW w:type="dxa" w:w="1700"/>
            <w:shd w:fill="E8E8E8" w:val="clear"/>
            <w:tcMar>
              <w:top w:type="dxa" w:w="60"/>
              <w:left w:type="dxa" w:w="100"/>
              <w:bottom w:type="dxa" w:w="60"/>
              <w:right w:type="dxa" w:w="100"/>
            </w:tcMar>
          </w:tcPr>
          <w:p>
            <w:r>
              <w:rPr>
                <w:b/>
                <w:bCs/>
                <w:sz w:val="16"/>
                <w:szCs w:val="16"/>
              </w:rPr>
              <w:t xml:space="preserve">Transfers outside UK</w:t>
            </w:r>
          </w:p>
        </w:tc>
        <w:tc>
          <w:tcPr>
            <w:tcW w:type="dxa" w:w="1700"/>
            <w:shd w:fill="E8E8E8" w:val="clear"/>
            <w:tcMar>
              <w:top w:type="dxa" w:w="60"/>
              <w:left w:type="dxa" w:w="100"/>
              <w:bottom w:type="dxa" w:w="60"/>
              <w:right w:type="dxa" w:w="100"/>
            </w:tcMar>
          </w:tcPr>
          <w:p>
            <w:r>
              <w:rPr>
                <w:b/>
                <w:bCs/>
                <w:sz w:val="16"/>
                <w:szCs w:val="16"/>
              </w:rPr>
              <w:t xml:space="preserve">Retention</w:t>
            </w:r>
          </w:p>
        </w:tc>
        <w:tc>
          <w:tcPr>
            <w:tcW w:type="dxa" w:w="2200"/>
            <w:shd w:fill="E8E8E8" w:val="clear"/>
            <w:tcMar>
              <w:top w:type="dxa" w:w="60"/>
              <w:left w:type="dxa" w:w="100"/>
              <w:bottom w:type="dxa" w:w="60"/>
              <w:right w:type="dxa" w:w="100"/>
            </w:tcMar>
          </w:tcPr>
          <w:p>
            <w:r>
              <w:rPr>
                <w:b/>
                <w:bCs/>
                <w:sz w:val="16"/>
                <w:szCs w:val="16"/>
              </w:rPr>
              <w:t xml:space="preserve">Security measures (Art 32)</w:t>
            </w:r>
          </w:p>
        </w:tc>
      </w:tr>
      <w:tr>
        <w:tc>
          <w:tcPr>
            <w:tcW w:type="dxa" w:w="1500"/>
            <w:tcMar>
              <w:top w:type="dxa" w:w="60"/>
              <w:left w:type="dxa" w:w="100"/>
              <w:bottom w:type="dxa" w:w="60"/>
              <w:right w:type="dxa" w:w="100"/>
            </w:tcMar>
          </w:tcPr>
          <w:p>
            <w:r>
              <w:rPr>
                <w:sz w:val="16"/>
                <w:szCs w:val="16"/>
              </w:rPr>
              <w:t xml:space="preserve">Coaching data in the app</w:t>
            </w:r>
          </w:p>
        </w:tc>
        <w:tc>
          <w:tcPr>
            <w:tcW w:type="dxa" w:w="2400"/>
            <w:tcMar>
              <w:top w:type="dxa" w:w="60"/>
              <w:left w:type="dxa" w:w="100"/>
              <w:bottom w:type="dxa" w:w="60"/>
              <w:right w:type="dxa" w:w="100"/>
            </w:tcMar>
          </w:tcPr>
          <w:p>
            <w:r>
              <w:rPr>
                <w:sz w:val="16"/>
                <w:szCs w:val="16"/>
              </w:rPr>
              <w:t xml:space="preserve">Delivering the coaching service: generating movement sessions adapted to the person. Basis: contract (Art 6(1)(b)); for health data, explicit consent (Art 9(2)(a)) captured at onboarding with policy version recorded (thread.js, POLICY_VERSION)</w:t>
            </w:r>
          </w:p>
        </w:tc>
        <w:tc>
          <w:tcPr>
            <w:tcW w:type="dxa" w:w="2600"/>
            <w:tcMar>
              <w:top w:type="dxa" w:w="60"/>
              <w:left w:type="dxa" w:w="100"/>
              <w:bottom w:type="dxa" w:w="60"/>
              <w:right w:type="dxa" w:w="100"/>
            </w:tcMar>
          </w:tcPr>
          <w:p>
            <w:r>
              <w:rPr>
                <w:sz w:val="16"/>
                <w:szCs w:val="16"/>
              </w:rPr>
              <w:t xml:space="preserve">App users (18+).</w:t>
            </w:r>
          </w:p>
          <w:p>
            <w:r>
              <w:rPr>
                <w:sz w:val="16"/>
                <w:szCs w:val="16"/>
              </w:rPr>
              <w:t xml:space="preserve">Check-in data (energy, mood, pain, sleep, feelings), conditions, capability answers, goals and targets, activity and exercise history, journal entries, weight (only if the person enables it), age band, optional gender (hormonal tracking only)</w:t>
            </w:r>
          </w:p>
        </w:tc>
        <w:tc>
          <w:tcPr>
            <w:tcW w:type="dxa" w:w="1900"/>
            <w:tcMar>
              <w:top w:type="dxa" w:w="60"/>
              <w:left w:type="dxa" w:w="100"/>
              <w:bottom w:type="dxa" w:w="60"/>
              <w:right w:type="dxa" w:w="100"/>
            </w:tcMar>
          </w:tcPr>
          <w:p>
            <w:r>
              <w:rPr>
                <w:sz w:val="16"/>
                <w:szCs w:val="16"/>
              </w:rPr>
              <w:t xml:space="preserve">None. Data is stored in localStorage on the person’s own device; it does not reach any server operated by or for the controller in the current build</w:t>
            </w:r>
          </w:p>
        </w:tc>
        <w:tc>
          <w:tcPr>
            <w:tcW w:type="dxa" w:w="1700"/>
            <w:tcMar>
              <w:top w:type="dxa" w:w="60"/>
              <w:left w:type="dxa" w:w="100"/>
              <w:bottom w:type="dxa" w:w="60"/>
              <w:right w:type="dxa" w:w="100"/>
            </w:tcMar>
          </w:tcPr>
          <w:p>
            <w:r>
              <w:rPr>
                <w:sz w:val="16"/>
                <w:szCs w:val="16"/>
              </w:rPr>
              <w:t xml:space="preserve">None</w:t>
            </w:r>
          </w:p>
        </w:tc>
        <w:tc>
          <w:tcPr>
            <w:tcW w:type="dxa" w:w="1700"/>
            <w:tcMar>
              <w:top w:type="dxa" w:w="60"/>
              <w:left w:type="dxa" w:w="100"/>
              <w:bottom w:type="dxa" w:w="60"/>
              <w:right w:type="dxa" w:w="100"/>
            </w:tcMar>
          </w:tcPr>
          <w:p>
            <w:r>
              <w:rPr>
                <w:sz w:val="16"/>
                <w:szCs w:val="16"/>
              </w:rPr>
              <w:t xml:space="preserve">Held on-device until the person deletes it or clears the app. No server copy exists to retain</w:t>
            </w:r>
          </w:p>
        </w:tc>
        <w:tc>
          <w:tcPr>
            <w:tcW w:type="dxa" w:w="2200"/>
            <w:tcMar>
              <w:top w:type="dxa" w:w="60"/>
              <w:left w:type="dxa" w:w="100"/>
              <w:bottom w:type="dxa" w:w="60"/>
              <w:right w:type="dxa" w:w="100"/>
            </w:tcMar>
          </w:tcPr>
          <w:p>
            <w:r>
              <w:rPr>
                <w:sz w:val="16"/>
                <w:szCs w:val="16"/>
              </w:rPr>
              <w:t xml:space="preserve">On-device storage under the person’s control; journal privacy absolute (no signal detection on journal content, gated); no analytics on coaching data; HTTPS-only delivery via GitHub Pages</w:t>
            </w:r>
          </w:p>
        </w:tc>
      </w:tr>
      <w:tr>
        <w:tc>
          <w:tcPr>
            <w:tcW w:type="dxa" w:w="1500"/>
            <w:tcMar>
              <w:top w:type="dxa" w:w="60"/>
              <w:left w:type="dxa" w:w="100"/>
              <w:bottom w:type="dxa" w:w="60"/>
              <w:right w:type="dxa" w:w="100"/>
            </w:tcMar>
          </w:tcPr>
          <w:p>
            <w:r>
              <w:rPr>
                <w:sz w:val="16"/>
                <w:szCs w:val="16"/>
              </w:rPr>
              <w:t xml:space="preserve">Error monitoring</w:t>
            </w:r>
          </w:p>
        </w:tc>
        <w:tc>
          <w:tcPr>
            <w:tcW w:type="dxa" w:w="2400"/>
            <w:tcMar>
              <w:top w:type="dxa" w:w="60"/>
              <w:left w:type="dxa" w:w="100"/>
              <w:bottom w:type="dxa" w:w="60"/>
              <w:right w:type="dxa" w:w="100"/>
            </w:tcMar>
          </w:tcPr>
          <w:p>
            <w:r>
              <w:rPr>
                <w:sz w:val="16"/>
                <w:szCs w:val="16"/>
              </w:rPr>
              <w:t xml:space="preserve">Detecting and fixing faults in the app. Basis: legitimate interests (Art 6(1)(f)) — balancing test TO CONFIRM in writing</w:t>
            </w:r>
          </w:p>
        </w:tc>
        <w:tc>
          <w:tcPr>
            <w:tcW w:type="dxa" w:w="2600"/>
            <w:tcMar>
              <w:top w:type="dxa" w:w="60"/>
              <w:left w:type="dxa" w:w="100"/>
              <w:bottom w:type="dxa" w:w="60"/>
              <w:right w:type="dxa" w:w="100"/>
            </w:tcMar>
          </w:tcPr>
          <w:p>
            <w:r>
              <w:rPr>
                <w:sz w:val="16"/>
                <w:szCs w:val="16"/>
              </w:rPr>
              <w:t xml:space="preserve">App users.</w:t>
            </w:r>
          </w:p>
          <w:p>
            <w:r>
              <w:rPr>
                <w:sz w:val="16"/>
                <w:szCs w:val="16"/>
              </w:rPr>
              <w:t xml:space="preserve">Technical error reports: browser/device context, error stack traces. Configured to exclude coaching data; a scrubbing gate (reversal-tested) is a named pre-beta requirement in the DPIA and is not yet in place</w:t>
            </w:r>
          </w:p>
        </w:tc>
        <w:tc>
          <w:tcPr>
            <w:tcW w:type="dxa" w:w="1900"/>
            <w:tcMar>
              <w:top w:type="dxa" w:w="60"/>
              <w:left w:type="dxa" w:w="100"/>
              <w:bottom w:type="dxa" w:w="60"/>
              <w:right w:type="dxa" w:w="100"/>
            </w:tcMar>
          </w:tcPr>
          <w:p>
            <w:r>
              <w:rPr>
                <w:sz w:val="16"/>
                <w:szCs w:val="16"/>
              </w:rPr>
              <w:t xml:space="preserve">Sentry — EU region (js-de, Frankfurt), wired in index.html</w:t>
            </w:r>
          </w:p>
        </w:tc>
        <w:tc>
          <w:tcPr>
            <w:tcW w:type="dxa" w:w="1700"/>
            <w:tcMar>
              <w:top w:type="dxa" w:w="60"/>
              <w:left w:type="dxa" w:w="100"/>
              <w:bottom w:type="dxa" w:w="60"/>
              <w:right w:type="dxa" w:w="100"/>
            </w:tcMar>
          </w:tcPr>
          <w:p>
            <w:r>
              <w:rPr>
                <w:sz w:val="16"/>
                <w:szCs w:val="16"/>
              </w:rPr>
              <w:t xml:space="preserve">None intended (EU hosting). Processor terms TO CONFIRM (Article 28 task, compliance register)</w:t>
            </w:r>
          </w:p>
        </w:tc>
        <w:tc>
          <w:tcPr>
            <w:tcW w:type="dxa" w:w="1700"/>
            <w:tcMar>
              <w:top w:type="dxa" w:w="60"/>
              <w:left w:type="dxa" w:w="100"/>
              <w:bottom w:type="dxa" w:w="60"/>
              <w:right w:type="dxa" w:w="100"/>
            </w:tcMar>
          </w:tcPr>
          <w:p>
            <w:r>
              <w:rPr>
                <w:sz w:val="16"/>
                <w:szCs w:val="16"/>
              </w:rPr>
              <w:t xml:space="preserve">Per Sentry retention settings — TO CONFIRM and record here</w:t>
            </w:r>
          </w:p>
        </w:tc>
        <w:tc>
          <w:tcPr>
            <w:tcW w:type="dxa" w:w="2200"/>
            <w:tcMar>
              <w:top w:type="dxa" w:w="60"/>
              <w:left w:type="dxa" w:w="100"/>
              <w:bottom w:type="dxa" w:w="60"/>
              <w:right w:type="dxa" w:w="100"/>
            </w:tcMar>
          </w:tcPr>
          <w:p>
            <w:r>
              <w:rPr>
                <w:sz w:val="16"/>
                <w:szCs w:val="16"/>
              </w:rPr>
              <w:t xml:space="preserve">EU-region ingestion; scrubbing gate pre-beta; access limited to the controller’s account</w:t>
            </w:r>
          </w:p>
        </w:tc>
      </w:tr>
      <w:tr>
        <w:tc>
          <w:tcPr>
            <w:tcW w:type="dxa" w:w="1500"/>
            <w:tcMar>
              <w:top w:type="dxa" w:w="60"/>
              <w:left w:type="dxa" w:w="100"/>
              <w:bottom w:type="dxa" w:w="60"/>
              <w:right w:type="dxa" w:w="100"/>
            </w:tcMar>
          </w:tcPr>
          <w:p>
            <w:r>
              <w:rPr>
                <w:sz w:val="16"/>
                <w:szCs w:val="16"/>
              </w:rPr>
              <w:t xml:space="preserve">Email newsletter list</w:t>
            </w:r>
          </w:p>
        </w:tc>
        <w:tc>
          <w:tcPr>
            <w:tcW w:type="dxa" w:w="2400"/>
            <w:tcMar>
              <w:top w:type="dxa" w:w="60"/>
              <w:left w:type="dxa" w:w="100"/>
              <w:bottom w:type="dxa" w:w="60"/>
              <w:right w:type="dxa" w:w="100"/>
            </w:tcMar>
          </w:tcPr>
          <w:p>
            <w:r>
              <w:rPr>
                <w:sz w:val="16"/>
                <w:szCs w:val="16"/>
              </w:rPr>
              <w:t xml:space="preserve">Sending updates to people who signed up. Basis: consent (Art 6(1)(a)), unsubscribe in every send</w:t>
            </w:r>
          </w:p>
        </w:tc>
        <w:tc>
          <w:tcPr>
            <w:tcW w:type="dxa" w:w="2600"/>
            <w:tcMar>
              <w:top w:type="dxa" w:w="60"/>
              <w:left w:type="dxa" w:w="100"/>
              <w:bottom w:type="dxa" w:w="60"/>
              <w:right w:type="dxa" w:w="100"/>
            </w:tcMar>
          </w:tcPr>
          <w:p>
            <w:r>
              <w:rPr>
                <w:sz w:val="16"/>
                <w:szCs w:val="16"/>
              </w:rPr>
              <w:t xml:space="preserve">Subscribers.</w:t>
            </w:r>
          </w:p>
          <w:p>
            <w:r>
              <w:rPr>
                <w:sz w:val="16"/>
                <w:szCs w:val="16"/>
              </w:rPr>
              <w:t xml:space="preserve">Email address, signup date, engagement data the platform collects</w:t>
            </w:r>
          </w:p>
        </w:tc>
        <w:tc>
          <w:tcPr>
            <w:tcW w:type="dxa" w:w="1900"/>
            <w:tcMar>
              <w:top w:type="dxa" w:w="60"/>
              <w:left w:type="dxa" w:w="100"/>
              <w:bottom w:type="dxa" w:w="60"/>
              <w:right w:type="dxa" w:w="100"/>
            </w:tcMar>
          </w:tcPr>
          <w:p>
            <w:r>
              <w:rPr>
                <w:sz w:val="16"/>
                <w:szCs w:val="16"/>
              </w:rPr>
              <w:t xml:space="preserve">Kit (formerly ConvertKit)</w:t>
            </w:r>
          </w:p>
        </w:tc>
        <w:tc>
          <w:tcPr>
            <w:tcW w:type="dxa" w:w="1700"/>
            <w:tcMar>
              <w:top w:type="dxa" w:w="60"/>
              <w:left w:type="dxa" w:w="100"/>
              <w:bottom w:type="dxa" w:w="60"/>
              <w:right w:type="dxa" w:w="100"/>
            </w:tcMar>
          </w:tcPr>
          <w:p>
            <w:r>
              <w:rPr>
                <w:sz w:val="16"/>
                <w:szCs w:val="16"/>
              </w:rPr>
              <w:t xml:space="preserve">TO CONFIRM — Kit is US-based; the transfer mechanism (UK extension to the EU-US Data Privacy Framework, or safeguards) must be confirmed and recorded here as part of the Article 28 task</w:t>
            </w:r>
          </w:p>
        </w:tc>
        <w:tc>
          <w:tcPr>
            <w:tcW w:type="dxa" w:w="1700"/>
            <w:tcMar>
              <w:top w:type="dxa" w:w="60"/>
              <w:left w:type="dxa" w:w="100"/>
              <w:bottom w:type="dxa" w:w="60"/>
              <w:right w:type="dxa" w:w="100"/>
            </w:tcMar>
          </w:tcPr>
          <w:p>
            <w:r>
              <w:rPr>
                <w:sz w:val="16"/>
                <w:szCs w:val="16"/>
              </w:rPr>
              <w:t xml:space="preserve">Until unsubscribe or list deletion</w:t>
            </w:r>
          </w:p>
        </w:tc>
        <w:tc>
          <w:tcPr>
            <w:tcW w:type="dxa" w:w="2200"/>
            <w:tcMar>
              <w:top w:type="dxa" w:w="60"/>
              <w:left w:type="dxa" w:w="100"/>
              <w:bottom w:type="dxa" w:w="60"/>
              <w:right w:type="dxa" w:w="100"/>
            </w:tcMar>
          </w:tcPr>
          <w:p>
            <w:r>
              <w:rPr>
                <w:sz w:val="16"/>
                <w:szCs w:val="16"/>
              </w:rPr>
              <w:t xml:space="preserve">Platform access limited to the controller’s account; no health data ever on this list</w:t>
            </w:r>
          </w:p>
        </w:tc>
      </w:tr>
      <w:tr>
        <w:tc>
          <w:tcPr>
            <w:tcW w:type="dxa" w:w="1500"/>
            <w:tcMar>
              <w:top w:type="dxa" w:w="60"/>
              <w:left w:type="dxa" w:w="100"/>
              <w:bottom w:type="dxa" w:w="60"/>
              <w:right w:type="dxa" w:w="100"/>
            </w:tcMar>
          </w:tcPr>
          <w:p>
            <w:r>
              <w:rPr>
                <w:sz w:val="16"/>
                <w:szCs w:val="16"/>
              </w:rPr>
              <w:t xml:space="preserve">Correspondence</w:t>
            </w:r>
          </w:p>
        </w:tc>
        <w:tc>
          <w:tcPr>
            <w:tcW w:type="dxa" w:w="2400"/>
            <w:tcMar>
              <w:top w:type="dxa" w:w="60"/>
              <w:left w:type="dxa" w:w="100"/>
              <w:bottom w:type="dxa" w:w="60"/>
              <w:right w:type="dxa" w:w="100"/>
            </w:tcMar>
          </w:tcPr>
          <w:p>
            <w:r>
              <w:rPr>
                <w:sz w:val="16"/>
                <w:szCs w:val="16"/>
              </w:rPr>
              <w:t xml:space="preserve">Answering email, complaints (DUAA s.164A procedure), rights requests. Basis: legitimate interests; legal obligation for complaints and rights records</w:t>
            </w:r>
          </w:p>
        </w:tc>
        <w:tc>
          <w:tcPr>
            <w:tcW w:type="dxa" w:w="2600"/>
            <w:tcMar>
              <w:top w:type="dxa" w:w="60"/>
              <w:left w:type="dxa" w:w="100"/>
              <w:bottom w:type="dxa" w:w="60"/>
              <w:right w:type="dxa" w:w="100"/>
            </w:tcMar>
          </w:tcPr>
          <w:p>
            <w:r>
              <w:rPr>
                <w:sz w:val="16"/>
                <w:szCs w:val="16"/>
              </w:rPr>
              <w:t xml:space="preserve">Anyone who writes in.</w:t>
            </w:r>
          </w:p>
          <w:p>
            <w:r>
              <w:rPr>
                <w:sz w:val="16"/>
                <w:szCs w:val="16"/>
              </w:rPr>
              <w:t xml:space="preserve">Whatever they send; complaint and rights-request records</w:t>
            </w:r>
          </w:p>
        </w:tc>
        <w:tc>
          <w:tcPr>
            <w:tcW w:type="dxa" w:w="1900"/>
            <w:tcMar>
              <w:top w:type="dxa" w:w="60"/>
              <w:left w:type="dxa" w:w="100"/>
              <w:bottom w:type="dxa" w:w="60"/>
              <w:right w:type="dxa" w:w="100"/>
            </w:tcMar>
          </w:tcPr>
          <w:p>
            <w:r>
              <w:rPr>
                <w:sz w:val="16"/>
                <w:szCs w:val="16"/>
              </w:rPr>
              <w:t xml:space="preserve">Zoho Mail (hello@buildnewhabits.co.uk)</w:t>
            </w:r>
          </w:p>
        </w:tc>
        <w:tc>
          <w:tcPr>
            <w:tcW w:type="dxa" w:w="1700"/>
            <w:tcMar>
              <w:top w:type="dxa" w:w="60"/>
              <w:left w:type="dxa" w:w="100"/>
              <w:bottom w:type="dxa" w:w="60"/>
              <w:right w:type="dxa" w:w="100"/>
            </w:tcMar>
          </w:tcPr>
          <w:p>
            <w:r>
              <w:rPr>
                <w:sz w:val="16"/>
                <w:szCs w:val="16"/>
              </w:rPr>
              <w:t xml:space="preserve">TO CONFIRM — Zoho data centre location for this account to be verified and recorded</w:t>
            </w:r>
          </w:p>
        </w:tc>
        <w:tc>
          <w:tcPr>
            <w:tcW w:type="dxa" w:w="1700"/>
            <w:tcMar>
              <w:top w:type="dxa" w:w="60"/>
              <w:left w:type="dxa" w:w="100"/>
              <w:bottom w:type="dxa" w:w="60"/>
              <w:right w:type="dxa" w:w="100"/>
            </w:tcMar>
          </w:tcPr>
          <w:p>
            <w:r>
              <w:rPr>
                <w:sz w:val="16"/>
                <w:szCs w:val="16"/>
              </w:rPr>
              <w:t xml:space="preserve">Complaints log: 3 years minimum. Rights requests: 3 years. General mail: reviewed annually</w:t>
            </w:r>
          </w:p>
        </w:tc>
        <w:tc>
          <w:tcPr>
            <w:tcW w:type="dxa" w:w="2200"/>
            <w:tcMar>
              <w:top w:type="dxa" w:w="60"/>
              <w:left w:type="dxa" w:w="100"/>
              <w:bottom w:type="dxa" w:w="60"/>
              <w:right w:type="dxa" w:w="100"/>
            </w:tcMar>
          </w:tcPr>
          <w:p>
            <w:r>
              <w:rPr>
                <w:sz w:val="16"/>
                <w:szCs w:val="16"/>
              </w:rPr>
              <w:t xml:space="preserve">Mailbox access limited to the controller; strong password; 2FA TO CONFIRM enabled</w:t>
            </w:r>
          </w:p>
        </w:tc>
      </w:tr>
      <w:tr>
        <w:tc>
          <w:tcPr>
            <w:tcW w:type="dxa" w:w="1500"/>
            <w:tcMar>
              <w:top w:type="dxa" w:w="60"/>
              <w:left w:type="dxa" w:w="100"/>
              <w:bottom w:type="dxa" w:w="60"/>
              <w:right w:type="dxa" w:w="100"/>
            </w:tcMar>
          </w:tcPr>
          <w:p>
            <w:r>
              <w:rPr>
                <w:sz w:val="16"/>
                <w:szCs w:val="16"/>
              </w:rPr>
              <w:t xml:space="preserve">Beta programme records</w:t>
            </w:r>
          </w:p>
        </w:tc>
        <w:tc>
          <w:tcPr>
            <w:tcW w:type="dxa" w:w="2400"/>
            <w:tcMar>
              <w:top w:type="dxa" w:w="60"/>
              <w:left w:type="dxa" w:w="100"/>
              <w:bottom w:type="dxa" w:w="60"/>
              <w:right w:type="dxa" w:w="100"/>
            </w:tcMar>
          </w:tcPr>
          <w:p>
            <w:r>
              <w:rPr>
                <w:sz w:val="16"/>
                <w:szCs w:val="16"/>
              </w:rPr>
              <w:t xml:space="preserve">Running the closed beta from mid-September 2026: who is in the cohort, their feedback, the week-two user consultation the DPIA commits to. Basis: consent / legitimate interests</w:t>
            </w:r>
          </w:p>
        </w:tc>
        <w:tc>
          <w:tcPr>
            <w:tcW w:type="dxa" w:w="2600"/>
            <w:tcMar>
              <w:top w:type="dxa" w:w="60"/>
              <w:left w:type="dxa" w:w="100"/>
              <w:bottom w:type="dxa" w:w="60"/>
              <w:right w:type="dxa" w:w="100"/>
            </w:tcMar>
          </w:tcPr>
          <w:p>
            <w:r>
              <w:rPr>
                <w:sz w:val="16"/>
                <w:szCs w:val="16"/>
              </w:rPr>
              <w:t xml:space="preserve">Beta testers.</w:t>
            </w:r>
          </w:p>
          <w:p>
            <w:r>
              <w:rPr>
                <w:sz w:val="16"/>
                <w:szCs w:val="16"/>
              </w:rPr>
              <w:t xml:space="preserve">Name or handle, email, feedback, device context they choose to share</w:t>
            </w:r>
          </w:p>
        </w:tc>
        <w:tc>
          <w:tcPr>
            <w:tcW w:type="dxa" w:w="1900"/>
            <w:tcMar>
              <w:top w:type="dxa" w:w="60"/>
              <w:left w:type="dxa" w:w="100"/>
              <w:bottom w:type="dxa" w:w="60"/>
              <w:right w:type="dxa" w:w="100"/>
            </w:tcMar>
          </w:tcPr>
          <w:p>
            <w:r>
              <w:rPr>
                <w:sz w:val="16"/>
                <w:szCs w:val="16"/>
              </w:rPr>
              <w:t xml:space="preserve">Held in controller records (mail, private repo documents)</w:t>
            </w:r>
          </w:p>
        </w:tc>
        <w:tc>
          <w:tcPr>
            <w:tcW w:type="dxa" w:w="1700"/>
            <w:tcMar>
              <w:top w:type="dxa" w:w="60"/>
              <w:left w:type="dxa" w:w="100"/>
              <w:bottom w:type="dxa" w:w="60"/>
              <w:right w:type="dxa" w:w="100"/>
            </w:tcMar>
          </w:tcPr>
          <w:p>
            <w:r>
              <w:rPr>
                <w:sz w:val="16"/>
                <w:szCs w:val="16"/>
              </w:rPr>
              <w:t xml:space="preserve">None</w:t>
            </w:r>
          </w:p>
        </w:tc>
        <w:tc>
          <w:tcPr>
            <w:tcW w:type="dxa" w:w="1700"/>
            <w:tcMar>
              <w:top w:type="dxa" w:w="60"/>
              <w:left w:type="dxa" w:w="100"/>
              <w:bottom w:type="dxa" w:w="60"/>
              <w:right w:type="dxa" w:w="100"/>
            </w:tcMar>
          </w:tcPr>
          <w:p>
            <w:r>
              <w:rPr>
                <w:sz w:val="16"/>
                <w:szCs w:val="16"/>
              </w:rPr>
              <w:t xml:space="preserve">Duration of beta plus 12 months, then reviewed</w:t>
            </w:r>
          </w:p>
        </w:tc>
        <w:tc>
          <w:tcPr>
            <w:tcW w:type="dxa" w:w="2200"/>
            <w:tcMar>
              <w:top w:type="dxa" w:w="60"/>
              <w:left w:type="dxa" w:w="100"/>
              <w:bottom w:type="dxa" w:w="60"/>
              <w:right w:type="dxa" w:w="100"/>
            </w:tcMar>
          </w:tcPr>
          <w:p>
            <w:r>
              <w:rPr>
                <w:sz w:val="16"/>
                <w:szCs w:val="16"/>
              </w:rPr>
              <w:t xml:space="preserve">Private repository and mailbox; feedback anonymised in any published material</w:t>
            </w:r>
          </w:p>
        </w:tc>
      </w:tr>
      <w:tr>
        <w:tc>
          <w:tcPr>
            <w:tcW w:type="dxa" w:w="1500"/>
            <w:shd w:fill="F2F2F2" w:val="clear"/>
            <w:tcMar>
              <w:top w:type="dxa" w:w="60"/>
              <w:left w:type="dxa" w:w="100"/>
              <w:bottom w:type="dxa" w:w="60"/>
              <w:right w:type="dxa" w:w="100"/>
            </w:tcMar>
          </w:tcPr>
          <w:p>
            <w:r>
              <w:rPr>
                <w:sz w:val="16"/>
                <w:szCs w:val="16"/>
              </w:rPr>
              <w:t xml:space="preserve">PLANNED — cloud sync of coaching data</w:t>
            </w:r>
          </w:p>
        </w:tc>
        <w:tc>
          <w:tcPr>
            <w:tcW w:type="dxa" w:w="2400"/>
            <w:shd w:fill="F2F2F2" w:val="clear"/>
            <w:tcMar>
              <w:top w:type="dxa" w:w="60"/>
              <w:left w:type="dxa" w:w="100"/>
              <w:bottom w:type="dxa" w:w="60"/>
              <w:right w:type="dxa" w:w="100"/>
            </w:tcMar>
          </w:tcPr>
          <w:p>
            <w:r>
              <w:rPr>
                <w:sz w:val="16"/>
                <w:szCs w:val="16"/>
              </w:rPr>
              <w:t xml:space="preserve">PLANNED. Backing up and syncing the coaching data above to the person’s account. Same bases as row 1</w:t>
            </w:r>
          </w:p>
        </w:tc>
        <w:tc>
          <w:tcPr>
            <w:tcW w:type="dxa" w:w="2600"/>
            <w:tcMar>
              <w:top w:type="dxa" w:w="60"/>
              <w:left w:type="dxa" w:w="100"/>
              <w:bottom w:type="dxa" w:w="60"/>
              <w:right w:type="dxa" w:w="100"/>
            </w:tcMar>
          </w:tcPr>
          <w:p>
            <w:r>
              <w:rPr>
                <w:sz w:val="16"/>
                <w:szCs w:val="16"/>
              </w:rPr>
              <w:t xml:space="preserve">As row 1</w:t>
            </w:r>
          </w:p>
        </w:tc>
        <w:tc>
          <w:tcPr>
            <w:tcW w:type="dxa" w:w="1900"/>
            <w:tcMar>
              <w:top w:type="dxa" w:w="60"/>
              <w:left w:type="dxa" w:w="100"/>
              <w:bottom w:type="dxa" w:w="60"/>
              <w:right w:type="dxa" w:w="100"/>
            </w:tcMar>
          </w:tcPr>
          <w:p>
            <w:r>
              <w:rPr>
                <w:sz w:val="16"/>
                <w:szCs w:val="16"/>
              </w:rPr>
              <w:t xml:space="preserve">Supabase, Frankfurt (eu-central-1), per-user row-level security</w:t>
            </w:r>
          </w:p>
        </w:tc>
        <w:tc>
          <w:tcPr>
            <w:tcW w:type="dxa" w:w="1700"/>
            <w:tcMar>
              <w:top w:type="dxa" w:w="60"/>
              <w:left w:type="dxa" w:w="100"/>
              <w:bottom w:type="dxa" w:w="60"/>
              <w:right w:type="dxa" w:w="100"/>
            </w:tcMar>
          </w:tcPr>
          <w:p>
            <w:r>
              <w:rPr>
                <w:sz w:val="16"/>
                <w:szCs w:val="16"/>
              </w:rPr>
              <w:t xml:space="preserve">None intended (EU hosting); confirm at go-live</w:t>
            </w:r>
          </w:p>
        </w:tc>
        <w:tc>
          <w:tcPr>
            <w:tcW w:type="dxa" w:w="1700"/>
            <w:tcMar>
              <w:top w:type="dxa" w:w="60"/>
              <w:left w:type="dxa" w:w="100"/>
              <w:bottom w:type="dxa" w:w="60"/>
              <w:right w:type="dxa" w:w="100"/>
            </w:tcMar>
          </w:tcPr>
          <w:p>
            <w:r>
              <w:rPr>
                <w:sz w:val="16"/>
                <w:szCs w:val="16"/>
              </w:rPr>
              <w:t xml:space="preserve">TO DEFINE before go-live — account deletion must erase the server copy</w:t>
            </w:r>
          </w:p>
        </w:tc>
        <w:tc>
          <w:tcPr>
            <w:tcW w:type="dxa" w:w="2200"/>
            <w:tcMar>
              <w:top w:type="dxa" w:w="60"/>
              <w:left w:type="dxa" w:w="100"/>
              <w:bottom w:type="dxa" w:w="60"/>
              <w:right w:type="dxa" w:w="100"/>
            </w:tcMar>
          </w:tcPr>
          <w:p>
            <w:r>
              <w:rPr>
                <w:sz w:val="16"/>
                <w:szCs w:val="16"/>
              </w:rPr>
              <w:t xml:space="preserve">Gate: Article 28 terms, breach procedure (INF-7 — drafted 28 Aug), and this row completed BEFORE any real data syncs</w:t>
            </w:r>
          </w:p>
        </w:tc>
      </w:tr>
      <w:tr>
        <w:tc>
          <w:tcPr>
            <w:tcW w:type="dxa" w:w="1500"/>
            <w:shd w:fill="F2F2F2" w:val="clear"/>
            <w:tcMar>
              <w:top w:type="dxa" w:w="60"/>
              <w:left w:type="dxa" w:w="100"/>
              <w:bottom w:type="dxa" w:w="60"/>
              <w:right w:type="dxa" w:w="100"/>
            </w:tcMar>
          </w:tcPr>
          <w:p>
            <w:r>
              <w:rPr>
                <w:sz w:val="16"/>
                <w:szCs w:val="16"/>
              </w:rPr>
              <w:t xml:space="preserve">PLANNED — payments</w:t>
            </w:r>
          </w:p>
        </w:tc>
        <w:tc>
          <w:tcPr>
            <w:tcW w:type="dxa" w:w="2400"/>
            <w:shd w:fill="F2F2F2" w:val="clear"/>
            <w:tcMar>
              <w:top w:type="dxa" w:w="60"/>
              <w:left w:type="dxa" w:w="100"/>
              <w:bottom w:type="dxa" w:w="60"/>
              <w:right w:type="dxa" w:w="100"/>
            </w:tcMar>
          </w:tcPr>
          <w:p>
            <w:r>
              <w:rPr>
                <w:sz w:val="16"/>
                <w:szCs w:val="16"/>
              </w:rPr>
              <w:t xml:space="preserve">PLANNED. Taking subscription payments. Basis: contract</w:t>
            </w:r>
          </w:p>
        </w:tc>
        <w:tc>
          <w:tcPr>
            <w:tcW w:type="dxa" w:w="2600"/>
            <w:tcMar>
              <w:top w:type="dxa" w:w="60"/>
              <w:left w:type="dxa" w:w="100"/>
              <w:bottom w:type="dxa" w:w="60"/>
              <w:right w:type="dxa" w:w="100"/>
            </w:tcMar>
          </w:tcPr>
          <w:p>
            <w:r>
              <w:rPr>
                <w:sz w:val="16"/>
                <w:szCs w:val="16"/>
              </w:rPr>
              <w:t xml:space="preserve">Paying subscribers.</w:t>
            </w:r>
          </w:p>
          <w:p>
            <w:r>
              <w:rPr>
                <w:sz w:val="16"/>
                <w:szCs w:val="16"/>
              </w:rPr>
              <w:t xml:space="preserve">Handled by the processor; the controller sees subscription status, not card data</w:t>
            </w:r>
          </w:p>
        </w:tc>
        <w:tc>
          <w:tcPr>
            <w:tcW w:type="dxa" w:w="1900"/>
            <w:tcMar>
              <w:top w:type="dxa" w:w="60"/>
              <w:left w:type="dxa" w:w="100"/>
              <w:bottom w:type="dxa" w:w="60"/>
              <w:right w:type="dxa" w:w="100"/>
            </w:tcMar>
          </w:tcPr>
          <w:p>
            <w:r>
              <w:rPr>
                <w:sz w:val="16"/>
                <w:szCs w:val="16"/>
              </w:rPr>
              <w:t xml:space="preserve">Stripe</w:t>
            </w:r>
          </w:p>
        </w:tc>
        <w:tc>
          <w:tcPr>
            <w:tcW w:type="dxa" w:w="1700"/>
            <w:tcMar>
              <w:top w:type="dxa" w:w="60"/>
              <w:left w:type="dxa" w:w="100"/>
              <w:bottom w:type="dxa" w:w="60"/>
              <w:right w:type="dxa" w:w="100"/>
            </w:tcMar>
          </w:tcPr>
          <w:p>
            <w:r>
              <w:rPr>
                <w:sz w:val="16"/>
                <w:szCs w:val="16"/>
              </w:rPr>
              <w:t xml:space="preserve">Confirm at go-live</w:t>
            </w:r>
          </w:p>
        </w:tc>
        <w:tc>
          <w:tcPr>
            <w:tcW w:type="dxa" w:w="1700"/>
            <w:tcMar>
              <w:top w:type="dxa" w:w="60"/>
              <w:left w:type="dxa" w:w="100"/>
              <w:bottom w:type="dxa" w:w="60"/>
              <w:right w:type="dxa" w:w="100"/>
            </w:tcMar>
          </w:tcPr>
          <w:p>
            <w:r>
              <w:rPr>
                <w:sz w:val="16"/>
                <w:szCs w:val="16"/>
              </w:rPr>
              <w:t xml:space="preserve">Per statutory accounting requirements (6 years)</w:t>
            </w:r>
          </w:p>
        </w:tc>
        <w:tc>
          <w:tcPr>
            <w:tcW w:type="dxa" w:w="2200"/>
            <w:tcMar>
              <w:top w:type="dxa" w:w="60"/>
              <w:left w:type="dxa" w:w="100"/>
              <w:bottom w:type="dxa" w:w="60"/>
              <w:right w:type="dxa" w:w="100"/>
            </w:tcMar>
          </w:tcPr>
          <w:p>
            <w:r>
              <w:rPr>
                <w:sz w:val="16"/>
                <w:szCs w:val="16"/>
              </w:rPr>
              <w:t xml:space="preserve">Gate: HMRC registration → business bank account → Stripe. Card data never touches the controller’s systems</w:t>
            </w:r>
          </w:p>
        </w:tc>
      </w:tr>
    </w:tbl>
    <w:p>
      <w:pPr>
        <w:pStyle w:val="Heading1"/>
        <w:spacing w:after="120" w:before="240"/>
      </w:pPr>
      <w:r>
        <w:t xml:space="preserve">3. General description of technical and organisational measures</w:t>
      </w:r>
    </w:p>
    <w:p>
      <w:pPr>
        <w:pStyle w:val="ListParagraph"/>
        <w:numPr>
          <w:ilvl w:val="0"/>
          <w:numId w:val="2"/>
        </w:numPr>
        <w:spacing w:after="60"/>
      </w:pPr>
      <w:r>
        <w:t xml:space="preserve">Coaching data stays on the person’s device in the current build — the strongest available measure is not holding it.</w:t>
      </w:r>
    </w:p>
    <w:p>
      <w:pPr>
        <w:pStyle w:val="ListParagraph"/>
        <w:numPr>
          <w:ilvl w:val="0"/>
          <w:numId w:val="2"/>
        </w:numPr>
        <w:spacing w:after="60"/>
      </w:pPr>
      <w:r>
        <w:t xml:space="preserve">The journal privacy rule is absolute and enforced by verification gates: no signal detection on journal content, ever.</w:t>
      </w:r>
    </w:p>
    <w:p>
      <w:pPr>
        <w:pStyle w:val="ListParagraph"/>
        <w:numPr>
          <w:ilvl w:val="0"/>
          <w:numId w:val="2"/>
        </w:numPr>
        <w:spacing w:after="60"/>
      </w:pPr>
      <w:r>
        <w:t xml:space="preserve">Safety features are never paywalled; no data is used for profiling beyond the coaching adaptation the person signed up for; no advertising, no data sale.</w:t>
      </w:r>
    </w:p>
    <w:p>
      <w:pPr>
        <w:pStyle w:val="ListParagraph"/>
        <w:numPr>
          <w:ilvl w:val="0"/>
          <w:numId w:val="2"/>
        </w:numPr>
        <w:spacing w:after="60"/>
      </w:pPr>
      <w:r>
        <w:t xml:space="preserve">All app delivery over HTTPS (GitHub Pages). Repository access via short-expiry fine-grained tokens.</w:t>
      </w:r>
    </w:p>
    <w:p>
      <w:pPr>
        <w:pStyle w:val="ListParagraph"/>
        <w:numPr>
          <w:ilvl w:val="0"/>
          <w:numId w:val="2"/>
        </w:numPr>
        <w:spacing w:after="60"/>
      </w:pPr>
      <w:r>
        <w:t xml:space="preserve">Verification-gate suite (89 gates at 28 Aug) asserts privacy-relevant behaviour in code, reversal-tested — including that no compliance document claims a control the code does not have.</w:t>
      </w:r>
    </w:p>
    <w:p>
      <w:pPr>
        <w:pStyle w:val="Heading1"/>
        <w:spacing w:after="120" w:before="240"/>
      </w:pPr>
      <w:r>
        <w:t xml:space="preserve">4. Maintenance</w:t>
      </w:r>
    </w:p>
    <w:p>
      <w:pPr>
        <w:spacing w:after="120"/>
      </w:pPr>
      <w:r>
        <w:t xml:space="preserve">This record is updated whenever a processing activity starts, stops, or changes — in the same session as the change, per the master-schedule rule that a decision not written down has not been taken. Review points: before beta (all TO CONFIRM items closed), before Supabase go-live, before Stripe go-live, and every six months.</w:t>
      </w:r>
    </w:p>
    <w:p>
      <w:pPr>
        <w:pStyle w:val="Heading1"/>
        <w:spacing w:after="120" w:before="240"/>
      </w:pPr>
      <w:r>
        <w:t xml:space="preserve">5. Adoption</w:t>
      </w:r>
    </w:p>
    <w:p>
      <w:pPr>
        <w:spacing w:after="120"/>
      </w:pPr>
      <w:r>
        <w:t xml:space="preserve">Adopted by: Graeme Wright, founder, Build New Habits (sole trader).</w:t>
      </w:r>
    </w:p>
    <w:p>
      <w:pPr>
        <w:spacing w:after="120"/>
      </w:pPr>
      <w:r>
        <w:t xml:space="preserve">Date: ____________________  Signature: ____________________</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2026-08-28T18:36:00.243Z</dcterms:created>
  <dcterms:modified xsi:type="dcterms:W3CDTF">2026-08-28T18:36:00.256Z</dcterms:modified>
</cp:coreProperties>
</file>

<file path=docProps/custom.xml><?xml version="1.0" encoding="utf-8"?>
<Properties xmlns="http://schemas.openxmlformats.org/officeDocument/2006/custom-properties" xmlns:vt="http://schemas.openxmlformats.org/officeDocument/2006/docPropsVTypes"/>
</file>