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Calibri" w:cs="Calibri" w:eastAsia="Calibri" w:hAnsi="Calibri"/>
          <w:b/>
          <w:bCs/>
          <w:color w:val="5A6B75"/>
          <w:sz w:val="20"/>
          <w:szCs w:val="20"/>
        </w:rPr>
        <w:t xml:space="preserve">Alongside: Move · Build New Habits</w:t>
      </w:r>
    </w:p>
    <w:p>
      <w:pPr>
        <w:pStyle w:val="Heading1"/>
        <w:spacing w:after="60"/>
      </w:pPr>
      <w:r>
        <w:rPr>
          <w:rFonts w:ascii="Calibri" w:cs="Calibri" w:eastAsia="Calibri" w:hAnsi="Calibri"/>
        </w:rPr>
        <w:t xml:space="preserve">In Step — content specification</w:t>
      </w:r>
    </w:p>
    <w:p>
      <w:pPr>
        <w:spacing w:after="220"/>
      </w:pPr>
      <w:r>
        <w:rPr>
          <w:rFonts w:ascii="Calibri" w:cs="Calibri" w:eastAsia="Calibri" w:hAnsi="Calibri"/>
          <w:i/>
          <w:iCs/>
          <w:color w:val="5A6B75"/>
          <w:sz w:val="21"/>
          <w:szCs w:val="21"/>
        </w:rPr>
        <w:t xml:space="preserve">03 Sep 2026 v1 — draft for Graeme</w:t>
      </w:r>
    </w:p>
    <w:p>
      <w:pPr>
        <w:pBdr>
          <w:bottom w:val="single" w:color="BFCAD1" w:sz="6"/>
        </w:pBdr>
        <w:spacing w:after="180" w:before="100"/>
      </w:pPr>
    </w:p>
    <w:p>
      <w:pPr>
        <w:pStyle w:val="Heading2"/>
        <w:spacing w:after="140" w:before="300"/>
      </w:pPr>
      <w:r>
        <w:rPr>
          <w:rFonts w:ascii="Calibri" w:cs="Calibri" w:eastAsia="Calibri" w:hAnsi="Calibri"/>
        </w:rPr>
        <w:t xml:space="preserve">What In Step is</w:t>
      </w:r>
    </w:p>
    <w:p>
      <w:pPr>
        <w:spacing w:after="140"/>
      </w:pPr>
      <w:r>
        <w:rPr>
          <w:rFonts w:ascii="Calibri" w:cs="Calibri" w:eastAsia="Calibri" w:hAnsi="Calibri"/>
          <w:b/>
          <w:bCs/>
          <w:sz w:val="21"/>
          <w:szCs w:val="21"/>
        </w:rPr>
        <w:t xml:space="preserve">A programme that helps somebody move from siloed thinking and behaviour towards empathy transfer, </w:t>
      </w:r>
      <w:r>
        <w:rPr>
          <w:rFonts w:ascii="Calibri" w:cs="Calibri" w:eastAsia="Calibri" w:hAnsi="Calibri"/>
          <w:sz w:val="21"/>
          <w:szCs w:val="21"/>
        </w:rPr>
        <w:t xml:space="preserve">developed through nature, movement and attention to other people. Graeme, 3 Sep: it is “the nature, empathy, understanding others element this app can help users develop.” It exists already in outline within the Wellbeing area and in the reflections.</w:t>
      </w:r>
    </w:p>
    <w:p>
      <w:pPr>
        <w:spacing w:after="140"/>
      </w:pPr>
      <w:r>
        <w:rPr>
          <w:rFonts w:ascii="Calibri" w:cs="Calibri" w:eastAsia="Calibri" w:hAnsi="Calibri"/>
          <w:sz w:val="21"/>
          <w:szCs w:val="21"/>
        </w:rPr>
        <w:t xml:space="preserve">It is the clearest thing in this product that no competitor is doing, and the most direct expression of the founding idea that the world gets slightly better when people feel genuinely understood.</w:t>
      </w:r>
    </w:p>
    <w:p>
      <w:pPr>
        <w:pStyle w:val="Heading2"/>
        <w:spacing w:after="140" w:before="300"/>
      </w:pPr>
      <w:r>
        <w:rPr>
          <w:rFonts w:ascii="Calibri" w:cs="Calibri" w:eastAsia="Calibri" w:hAnsi="Calibri"/>
        </w:rPr>
        <w:t xml:space="preserve">The evidence, and what it demands of the design</w:t>
      </w:r>
    </w:p>
    <w:p>
      <w:pPr>
        <w:spacing w:after="140"/>
      </w:pPr>
      <w:r>
        <w:rPr>
          <w:rFonts w:ascii="Calibri" w:cs="Calibri" w:eastAsia="Calibri" w:hAnsi="Calibri"/>
          <w:b/>
          <w:bCs/>
          <w:sz w:val="21"/>
          <w:szCs w:val="21"/>
        </w:rPr>
        <w:t xml:space="preserve">The five pathways. </w:t>
      </w:r>
      <w:r>
        <w:rPr>
          <w:rFonts w:ascii="Calibri" w:cs="Calibri" w:eastAsia="Calibri" w:hAnsi="Calibri"/>
          <w:sz w:val="21"/>
          <w:szCs w:val="21"/>
        </w:rPr>
        <w:t xml:space="preserve">Lumber, Richardson and Sheffield (2017, PLOS ONE 12(5): e0177186) tested how people actually become connected to nature. Contact, emotion, meaning and compassion — the last mediated by engagement with natural beauty — predicted connection. A walking intervention built on those pathways significantly increased connection to nature compared with walking in nature alone.</w:t>
      </w:r>
    </w:p>
    <w:p>
      <w:pPr>
        <w:spacing w:after="140"/>
      </w:pPr>
      <w:r>
        <w:rPr>
          <w:rFonts w:ascii="Calibri" w:cs="Calibri" w:eastAsia="Calibri" w:hAnsi="Calibri"/>
          <w:b/>
          <w:bCs/>
          <w:sz w:val="21"/>
          <w:szCs w:val="21"/>
        </w:rPr>
        <w:t xml:space="preserve">That is In Step’s structure, already validated: </w:t>
      </w:r>
      <w:r>
        <w:rPr>
          <w:rFonts w:ascii="Calibri" w:cs="Calibri" w:eastAsia="Calibri" w:hAnsi="Calibri"/>
          <w:sz w:val="21"/>
          <w:szCs w:val="21"/>
        </w:rPr>
        <w:t xml:space="preserve">a walk with a practice attached beats a walk. And the pathway carrying empathy is COMPASSION, which means the route from nature to caring about other people is the mechanism the research identifies rather than an assertion we would be making.</w:t>
      </w:r>
    </w:p>
    <w:p>
      <w:pPr>
        <w:spacing w:after="140"/>
      </w:pPr>
      <w:r>
        <w:rPr>
          <w:rFonts w:ascii="Calibri" w:cs="Calibri" w:eastAsia="Calibri" w:hAnsi="Calibri"/>
          <w:b/>
          <w:bCs/>
          <w:sz w:val="21"/>
          <w:szCs w:val="21"/>
        </w:rPr>
        <w:t xml:space="preserve">THE FINDING THAT SHAPES EVERYTHING: knowledge does not work. </w:t>
      </w:r>
      <w:r>
        <w:rPr>
          <w:rFonts w:ascii="Calibri" w:cs="Calibri" w:eastAsia="Calibri" w:hAnsi="Calibri"/>
          <w:sz w:val="21"/>
          <w:szCs w:val="21"/>
        </w:rPr>
        <w:t xml:space="preserve">Knowledge-based activities did not predict connection. A global meta-analysis of 59 experimental studies found significant increases in human–nature connectedness after contact with nature and mindfulness practices, and no significant effect of environmental education.</w:t>
      </w:r>
    </w:p>
    <w:p>
      <w:pPr>
        <w:spacing w:after="140"/>
      </w:pPr>
      <w:r>
        <w:rPr>
          <w:rFonts w:ascii="Calibri" w:cs="Calibri" w:eastAsia="Calibri" w:hAnsi="Calibri"/>
          <w:b/>
          <w:bCs/>
          <w:sz w:val="21"/>
          <w:szCs w:val="21"/>
        </w:rPr>
        <w:t xml:space="preserve">So In Step must not be a course. </w:t>
      </w:r>
      <w:r>
        <w:rPr>
          <w:rFonts w:ascii="Calibri" w:cs="Calibri" w:eastAsia="Calibri" w:hAnsi="Calibri"/>
          <w:sz w:val="21"/>
          <w:szCs w:val="21"/>
        </w:rPr>
        <w:t xml:space="preserve">Explaining empathy is the approach most likely to fail. It has to be noticing, feeling and doing — which is what this app is already shaped for.</w:t>
      </w:r>
    </w:p>
    <w:p>
      <w:pPr>
        <w:pStyle w:val="Heading2"/>
        <w:spacing w:after="140" w:before="300"/>
      </w:pPr>
      <w:r>
        <w:rPr>
          <w:rFonts w:ascii="Calibri" w:cs="Calibri" w:eastAsia="Calibri" w:hAnsi="Calibri"/>
        </w:rPr>
        <w:t xml:space="preserve">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900"/>
      </w:tblGrid>
      <w:tr>
        <w:trPr>
          <w:tblHeader/>
        </w:trPr>
        <w:tc>
          <w:tcPr>
            <w:tcW w:type="dxa" w:w="1900"/>
            <w:shd w:fill="E8EEF2" w:val="clear"/>
            <w:tcMar>
              <w:top w:type="dxa" w:w="80"/>
              <w:left w:type="dxa" w:w="110"/>
              <w:bottom w:type="dxa" w:w="80"/>
              <w:right w:type="dxa" w:w="110"/>
            </w:tcMar>
          </w:tcPr>
          <w:p>
            <w:r>
              <w:rPr>
                <w:rFonts w:ascii="Calibri" w:cs="Calibri" w:eastAsia="Calibri" w:hAnsi="Calibri"/>
                <w:b/>
                <w:bCs/>
                <w:sz w:val="19"/>
                <w:szCs w:val="19"/>
              </w:rPr>
              <w:t xml:space="preserve">Pathway</w:t>
            </w:r>
          </w:p>
        </w:tc>
        <w:tc>
          <w:tcPr>
            <w:tcW w:type="dxa" w:w="2400"/>
            <w:shd w:fill="E8EEF2" w:val="clear"/>
            <w:tcMar>
              <w:top w:type="dxa" w:w="80"/>
              <w:left w:type="dxa" w:w="110"/>
              <w:bottom w:type="dxa" w:w="80"/>
              <w:right w:type="dxa" w:w="110"/>
            </w:tcMar>
          </w:tcPr>
          <w:p>
            <w:r>
              <w:rPr>
                <w:rFonts w:ascii="Calibri" w:cs="Calibri" w:eastAsia="Calibri" w:hAnsi="Calibri"/>
                <w:b/>
                <w:bCs/>
                <w:sz w:val="19"/>
                <w:szCs w:val="19"/>
              </w:rPr>
              <w:t xml:space="preserve">In Step calls it</w:t>
            </w:r>
          </w:p>
        </w:tc>
        <w:tc>
          <w:tcPr>
            <w:tcW w:type="dxa" w:w="4900"/>
            <w:shd w:fill="E8EEF2" w:val="clear"/>
            <w:tcMar>
              <w:top w:type="dxa" w:w="80"/>
              <w:left w:type="dxa" w:w="110"/>
              <w:bottom w:type="dxa" w:w="80"/>
              <w:right w:type="dxa" w:w="110"/>
            </w:tcMar>
          </w:tcPr>
          <w:p>
            <w:r>
              <w:rPr>
                <w:rFonts w:ascii="Calibri" w:cs="Calibri" w:eastAsia="Calibri" w:hAnsi="Calibri"/>
                <w:b/>
                <w:bCs/>
                <w:sz w:val="19"/>
                <w:szCs w:val="19"/>
              </w:rPr>
              <w:t xml:space="preserve">What the person actually does</w:t>
            </w:r>
          </w:p>
        </w:tc>
      </w:tr>
      <w:tr>
        <w:tc>
          <w:tcPr>
            <w:tcW w:type="dxa" w:w="1900"/>
            <w:tcMar>
              <w:top w:type="dxa" w:w="80"/>
              <w:left w:type="dxa" w:w="110"/>
              <w:bottom w:type="dxa" w:w="80"/>
              <w:right w:type="dxa" w:w="110"/>
            </w:tcMar>
          </w:tcPr>
          <w:p>
            <w:r>
              <w:rPr>
                <w:rFonts w:ascii="Calibri" w:cs="Calibri" w:eastAsia="Calibri" w:hAnsi="Calibri"/>
                <w:sz w:val="19"/>
                <w:szCs w:val="19"/>
              </w:rPr>
              <w:t xml:space="preserve">Contact</w:t>
            </w:r>
          </w:p>
        </w:tc>
        <w:tc>
          <w:tcPr>
            <w:tcW w:type="dxa" w:w="2400"/>
            <w:tcMar>
              <w:top w:type="dxa" w:w="80"/>
              <w:left w:type="dxa" w:w="110"/>
              <w:bottom w:type="dxa" w:w="80"/>
              <w:right w:type="dxa" w:w="110"/>
            </w:tcMar>
          </w:tcPr>
          <w:p>
            <w:r>
              <w:rPr>
                <w:rFonts w:ascii="Calibri" w:cs="Calibri" w:eastAsia="Calibri" w:hAnsi="Calibri"/>
                <w:sz w:val="19"/>
                <w:szCs w:val="19"/>
              </w:rPr>
              <w:t xml:space="preserve">Being outside</w:t>
            </w:r>
          </w:p>
        </w:tc>
        <w:tc>
          <w:tcPr>
            <w:tcW w:type="dxa" w:w="4900"/>
            <w:tcMar>
              <w:top w:type="dxa" w:w="80"/>
              <w:left w:type="dxa" w:w="110"/>
              <w:bottom w:type="dxa" w:w="80"/>
              <w:right w:type="dxa" w:w="110"/>
            </w:tcMar>
          </w:tcPr>
          <w:p>
            <w:r>
              <w:rPr>
                <w:rFonts w:ascii="Calibri" w:cs="Calibri" w:eastAsia="Calibri" w:hAnsi="Calibri"/>
                <w:sz w:val="19"/>
                <w:szCs w:val="19"/>
              </w:rPr>
              <w:t xml:space="preserve">Movement outdoors with attention on the senses rather than on distance or pace</w:t>
            </w:r>
          </w:p>
        </w:tc>
      </w:tr>
      <w:tr>
        <w:tc>
          <w:tcPr>
            <w:tcW w:type="dxa" w:w="1900"/>
            <w:tcMar>
              <w:top w:type="dxa" w:w="80"/>
              <w:left w:type="dxa" w:w="110"/>
              <w:bottom w:type="dxa" w:w="80"/>
              <w:right w:type="dxa" w:w="110"/>
            </w:tcMar>
          </w:tcPr>
          <w:p>
            <w:r>
              <w:rPr>
                <w:rFonts w:ascii="Calibri" w:cs="Calibri" w:eastAsia="Calibri" w:hAnsi="Calibri"/>
                <w:sz w:val="19"/>
                <w:szCs w:val="19"/>
              </w:rPr>
              <w:t xml:space="preserve">Beauty</w:t>
            </w:r>
          </w:p>
        </w:tc>
        <w:tc>
          <w:tcPr>
            <w:tcW w:type="dxa" w:w="2400"/>
            <w:tcMar>
              <w:top w:type="dxa" w:w="80"/>
              <w:left w:type="dxa" w:w="110"/>
              <w:bottom w:type="dxa" w:w="80"/>
              <w:right w:type="dxa" w:w="110"/>
            </w:tcMar>
          </w:tcPr>
          <w:p>
            <w:r>
              <w:rPr>
                <w:rFonts w:ascii="Calibri" w:cs="Calibri" w:eastAsia="Calibri" w:hAnsi="Calibri"/>
                <w:sz w:val="19"/>
                <w:szCs w:val="19"/>
              </w:rPr>
              <w:t xml:space="preserve">Noticing</w:t>
            </w:r>
          </w:p>
        </w:tc>
        <w:tc>
          <w:tcPr>
            <w:tcW w:type="dxa" w:w="4900"/>
            <w:tcMar>
              <w:top w:type="dxa" w:w="80"/>
              <w:left w:type="dxa" w:w="110"/>
              <w:bottom w:type="dxa" w:w="80"/>
              <w:right w:type="dxa" w:w="110"/>
            </w:tcMar>
          </w:tcPr>
          <w:p>
            <w:r>
              <w:rPr>
                <w:rFonts w:ascii="Calibri" w:cs="Calibri" w:eastAsia="Calibri" w:hAnsi="Calibri"/>
                <w:sz w:val="19"/>
                <w:szCs w:val="19"/>
              </w:rPr>
              <w:t xml:space="preserve">Finding one thing worth looking at, and staying with it. The mediating pathway — beauty is what carries compassion</w:t>
            </w:r>
          </w:p>
        </w:tc>
      </w:tr>
      <w:tr>
        <w:tc>
          <w:tcPr>
            <w:tcW w:type="dxa" w:w="1900"/>
            <w:tcMar>
              <w:top w:type="dxa" w:w="80"/>
              <w:left w:type="dxa" w:w="110"/>
              <w:bottom w:type="dxa" w:w="80"/>
              <w:right w:type="dxa" w:w="110"/>
            </w:tcMar>
          </w:tcPr>
          <w:p>
            <w:r>
              <w:rPr>
                <w:rFonts w:ascii="Calibri" w:cs="Calibri" w:eastAsia="Calibri" w:hAnsi="Calibri"/>
                <w:sz w:val="19"/>
                <w:szCs w:val="19"/>
              </w:rPr>
              <w:t xml:space="preserve">Emotion</w:t>
            </w:r>
          </w:p>
        </w:tc>
        <w:tc>
          <w:tcPr>
            <w:tcW w:type="dxa" w:w="2400"/>
            <w:tcMar>
              <w:top w:type="dxa" w:w="80"/>
              <w:left w:type="dxa" w:w="110"/>
              <w:bottom w:type="dxa" w:w="80"/>
              <w:right w:type="dxa" w:w="110"/>
            </w:tcMar>
          </w:tcPr>
          <w:p>
            <w:r>
              <w:rPr>
                <w:rFonts w:ascii="Calibri" w:cs="Calibri" w:eastAsia="Calibri" w:hAnsi="Calibri"/>
                <w:sz w:val="19"/>
                <w:szCs w:val="19"/>
              </w:rPr>
              <w:t xml:space="preserve">Feeling it</w:t>
            </w:r>
          </w:p>
        </w:tc>
        <w:tc>
          <w:tcPr>
            <w:tcW w:type="dxa" w:w="4900"/>
            <w:tcMar>
              <w:top w:type="dxa" w:w="80"/>
              <w:left w:type="dxa" w:w="110"/>
              <w:bottom w:type="dxa" w:w="80"/>
              <w:right w:type="dxa" w:w="110"/>
            </w:tcMar>
          </w:tcPr>
          <w:p>
            <w:r>
              <w:rPr>
                <w:rFonts w:ascii="Calibri" w:cs="Calibri" w:eastAsia="Calibri" w:hAnsi="Calibri"/>
                <w:sz w:val="19"/>
                <w:szCs w:val="19"/>
              </w:rPr>
              <w:t xml:space="preserve">Naming what the moment produced, without improving on it</w:t>
            </w:r>
          </w:p>
        </w:tc>
      </w:tr>
      <w:tr>
        <w:tc>
          <w:tcPr>
            <w:tcW w:type="dxa" w:w="1900"/>
            <w:tcMar>
              <w:top w:type="dxa" w:w="80"/>
              <w:left w:type="dxa" w:w="110"/>
              <w:bottom w:type="dxa" w:w="80"/>
              <w:right w:type="dxa" w:w="110"/>
            </w:tcMar>
          </w:tcPr>
          <w:p>
            <w:r>
              <w:rPr>
                <w:rFonts w:ascii="Calibri" w:cs="Calibri" w:eastAsia="Calibri" w:hAnsi="Calibri"/>
                <w:sz w:val="19"/>
                <w:szCs w:val="19"/>
              </w:rPr>
              <w:t xml:space="preserve">Meaning</w:t>
            </w:r>
          </w:p>
        </w:tc>
        <w:tc>
          <w:tcPr>
            <w:tcW w:type="dxa" w:w="2400"/>
            <w:tcMar>
              <w:top w:type="dxa" w:w="80"/>
              <w:left w:type="dxa" w:w="110"/>
              <w:bottom w:type="dxa" w:w="80"/>
              <w:right w:type="dxa" w:w="110"/>
            </w:tcMar>
          </w:tcPr>
          <w:p>
            <w:r>
              <w:rPr>
                <w:rFonts w:ascii="Calibri" w:cs="Calibri" w:eastAsia="Calibri" w:hAnsi="Calibri"/>
                <w:sz w:val="19"/>
                <w:szCs w:val="19"/>
              </w:rPr>
              <w:t xml:space="preserve">What it stands for</w:t>
            </w:r>
          </w:p>
        </w:tc>
        <w:tc>
          <w:tcPr>
            <w:tcW w:type="dxa" w:w="4900"/>
            <w:tcMar>
              <w:top w:type="dxa" w:w="80"/>
              <w:left w:type="dxa" w:w="110"/>
              <w:bottom w:type="dxa" w:w="80"/>
              <w:right w:type="dxa" w:w="110"/>
            </w:tcMar>
          </w:tcPr>
          <w:p>
            <w:r>
              <w:rPr>
                <w:rFonts w:ascii="Calibri" w:cs="Calibri" w:eastAsia="Calibri" w:hAnsi="Calibri"/>
                <w:sz w:val="19"/>
                <w:szCs w:val="19"/>
              </w:rPr>
              <w:t xml:space="preserve">Where this sits in a life — season, change, repetition, return</w:t>
            </w:r>
          </w:p>
        </w:tc>
      </w:tr>
      <w:tr>
        <w:tc>
          <w:tcPr>
            <w:tcW w:type="dxa" w:w="1900"/>
            <w:tcMar>
              <w:top w:type="dxa" w:w="80"/>
              <w:left w:type="dxa" w:w="110"/>
              <w:bottom w:type="dxa" w:w="80"/>
              <w:right w:type="dxa" w:w="110"/>
            </w:tcMar>
          </w:tcPr>
          <w:p>
            <w:r>
              <w:rPr>
                <w:rFonts w:ascii="Calibri" w:cs="Calibri" w:eastAsia="Calibri" w:hAnsi="Calibri"/>
                <w:sz w:val="19"/>
                <w:szCs w:val="19"/>
              </w:rPr>
              <w:t xml:space="preserve">Compassion</w:t>
            </w:r>
          </w:p>
        </w:tc>
        <w:tc>
          <w:tcPr>
            <w:tcW w:type="dxa" w:w="2400"/>
            <w:tcMar>
              <w:top w:type="dxa" w:w="80"/>
              <w:left w:type="dxa" w:w="110"/>
              <w:bottom w:type="dxa" w:w="80"/>
              <w:right w:type="dxa" w:w="110"/>
            </w:tcMar>
          </w:tcPr>
          <w:p>
            <w:r>
              <w:rPr>
                <w:rFonts w:ascii="Calibri" w:cs="Calibri" w:eastAsia="Calibri" w:hAnsi="Calibri"/>
                <w:sz w:val="19"/>
                <w:szCs w:val="19"/>
              </w:rPr>
              <w:t xml:space="preserve">In step</w:t>
            </w:r>
          </w:p>
        </w:tc>
        <w:tc>
          <w:tcPr>
            <w:tcW w:type="dxa" w:w="4900"/>
            <w:tcMar>
              <w:top w:type="dxa" w:w="80"/>
              <w:left w:type="dxa" w:w="110"/>
              <w:bottom w:type="dxa" w:w="80"/>
              <w:right w:type="dxa" w:w="110"/>
            </w:tcMar>
          </w:tcPr>
          <w:p>
            <w:r>
              <w:rPr>
                <w:rFonts w:ascii="Calibri" w:cs="Calibri" w:eastAsia="Calibri" w:hAnsi="Calibri"/>
                <w:sz w:val="19"/>
                <w:szCs w:val="19"/>
              </w:rPr>
              <w:t xml:space="preserve">Turning the same attention outward: to something living, then to a person. This is the empathy transfer, and it is the destination</w:t>
            </w:r>
          </w:p>
        </w:tc>
      </w:tr>
    </w:tbl>
    <w:p>
      <w:pPr>
        <w:spacing w:after="140"/>
      </w:pPr>
      <w:r>
        <w:rPr>
          <w:rFonts w:ascii="Calibri" w:cs="Calibri" w:eastAsia="Calibri" w:hAnsi="Calibri"/>
          <w:b/>
          <w:bCs/>
          <w:sz w:val="21"/>
          <w:szCs w:val="21"/>
        </w:rPr>
        <w:t xml:space="preserve">The order matters and is the programme. </w:t>
      </w:r>
      <w:r>
        <w:rPr>
          <w:rFonts w:ascii="Calibri" w:cs="Calibri" w:eastAsia="Calibri" w:hAnsi="Calibri"/>
          <w:sz w:val="21"/>
          <w:szCs w:val="21"/>
        </w:rPr>
        <w:t xml:space="preserve">Compassion is reached through beauty, not asserted at the start. A programme that opened by asking somebody to think about other people would be doing exactly what the research says fails.</w:t>
      </w:r>
    </w:p>
    <w:p>
      <w:pPr>
        <w:pStyle w:val="Heading2"/>
        <w:spacing w:after="140" w:before="300"/>
      </w:pPr>
      <w:r>
        <w:rPr>
          <w:rFonts w:ascii="Calibri" w:cs="Calibri" w:eastAsia="Calibri" w:hAnsi="Calibri"/>
        </w:rPr>
        <w:t xml:space="preserve">How it attaches to the rest of the app</w:t>
      </w:r>
    </w:p>
    <w:p>
      <w:pPr>
        <w:pStyle w:val="ListParagraph"/>
        <w:numPr>
          <w:ilvl w:val="0"/>
          <w:numId w:val="2"/>
        </w:numPr>
        <w:spacing w:after="90"/>
      </w:pPr>
      <w:r>
        <w:rPr>
          <w:rFonts w:ascii="Calibri" w:cs="Calibri" w:eastAsia="Calibri" w:hAnsi="Calibri"/>
          <w:sz w:val="21"/>
          <w:szCs w:val="21"/>
        </w:rPr>
        <w:t xml:space="preserve">As a STRAND. A mind strand may sit under a physical aim in its own right — “confidence about getting down”, “being outside more”. This is what stops it becoming a garnish.</w:t>
      </w:r>
    </w:p>
    <w:p>
      <w:pPr>
        <w:pStyle w:val="ListParagraph"/>
        <w:numPr>
          <w:ilvl w:val="0"/>
          <w:numId w:val="2"/>
        </w:numPr>
        <w:spacing w:after="90"/>
      </w:pPr>
      <w:r>
        <w:rPr>
          <w:rFonts w:ascii="Calibri" w:cs="Calibri" w:eastAsia="Calibri" w:hAnsi="Calibri"/>
          <w:sz w:val="21"/>
          <w:szCs w:val="21"/>
        </w:rPr>
        <w:t xml:space="preserve">As a wind-down. A physical session may end on a pathway practice. Good delivery, not where it lives.</w:t>
      </w:r>
    </w:p>
    <w:p>
      <w:pPr>
        <w:pStyle w:val="ListParagraph"/>
        <w:numPr>
          <w:ilvl w:val="0"/>
          <w:numId w:val="2"/>
        </w:numPr>
        <w:spacing w:after="90"/>
      </w:pPr>
      <w:r>
        <w:rPr>
          <w:rFonts w:ascii="Calibri" w:cs="Calibri" w:eastAsia="Calibri" w:hAnsi="Calibri"/>
          <w:sz w:val="21"/>
          <w:szCs w:val="21"/>
        </w:rPr>
        <w:t xml:space="preserve">As a standalone practice, chosen from SETTLE YOUR MIND on the free screen.</w:t>
      </w:r>
    </w:p>
    <w:p>
      <w:pPr>
        <w:pStyle w:val="ListParagraph"/>
        <w:numPr>
          <w:ilvl w:val="0"/>
          <w:numId w:val="2"/>
        </w:numPr>
        <w:spacing w:after="90"/>
      </w:pPr>
      <w:r>
        <w:rPr>
          <w:rFonts w:ascii="Calibri" w:cs="Calibri" w:eastAsia="Calibri" w:hAnsi="Calibri"/>
          <w:sz w:val="21"/>
          <w:szCs w:val="21"/>
        </w:rPr>
        <w:t xml:space="preserve">FREE IN BOTH TIERS. Plan members will use it more because the coach recommends it — access is free, direction is paid.</w:t>
      </w:r>
    </w:p>
    <w:p>
      <w:pPr>
        <w:pStyle w:val="Heading2"/>
        <w:spacing w:after="140" w:before="300"/>
      </w:pPr>
      <w:r>
        <w:rPr>
          <w:rFonts w:ascii="Calibri" w:cs="Calibri" w:eastAsia="Calibri" w:hAnsi="Calibri"/>
        </w:rPr>
        <w:t xml:space="preserve">What it must never be</w:t>
      </w:r>
    </w:p>
    <w:p>
      <w:pPr>
        <w:pStyle w:val="ListParagraph"/>
        <w:numPr>
          <w:ilvl w:val="0"/>
          <w:numId w:val="2"/>
        </w:numPr>
        <w:spacing w:after="90"/>
      </w:pPr>
      <w:r>
        <w:rPr>
          <w:rFonts w:ascii="Calibri" w:cs="Calibri" w:eastAsia="Calibri" w:hAnsi="Calibri"/>
          <w:sz w:val="21"/>
          <w:szCs w:val="21"/>
        </w:rPr>
        <w:t xml:space="preserve">A course, a syllabus, or a set of explanations about empathy.</w:t>
      </w:r>
    </w:p>
    <w:p>
      <w:pPr>
        <w:pStyle w:val="ListParagraph"/>
        <w:numPr>
          <w:ilvl w:val="0"/>
          <w:numId w:val="2"/>
        </w:numPr>
        <w:spacing w:after="90"/>
      </w:pPr>
      <w:r>
        <w:rPr>
          <w:rFonts w:ascii="Calibri" w:cs="Calibri" w:eastAsia="Calibri" w:hAnsi="Calibri"/>
          <w:sz w:val="21"/>
          <w:szCs w:val="21"/>
        </w:rPr>
        <w:t xml:space="preserve">Anything addressing a named mental health condition, or framed as therapy or treatment. See the Intended Purpose Statement.</w:t>
      </w:r>
    </w:p>
    <w:p>
      <w:pPr>
        <w:pStyle w:val="ListParagraph"/>
        <w:numPr>
          <w:ilvl w:val="0"/>
          <w:numId w:val="2"/>
        </w:numPr>
        <w:spacing w:after="90"/>
      </w:pPr>
      <w:r>
        <w:rPr>
          <w:rFonts w:ascii="Calibri" w:cs="Calibri" w:eastAsia="Calibri" w:hAnsi="Calibri"/>
          <w:sz w:val="21"/>
          <w:szCs w:val="21"/>
        </w:rPr>
        <w:t xml:space="preserve">Dependent on access to countryside. Contact and beauty are available on a street with one tree, and the content must assume that as the default rather than the exception.</w:t>
      </w:r>
    </w:p>
    <w:p>
      <w:pPr>
        <w:pStyle w:val="ListParagraph"/>
        <w:numPr>
          <w:ilvl w:val="0"/>
          <w:numId w:val="2"/>
        </w:numPr>
        <w:spacing w:after="90"/>
      </w:pPr>
      <w:r>
        <w:rPr>
          <w:rFonts w:ascii="Calibri" w:cs="Calibri" w:eastAsia="Calibri" w:hAnsi="Calibri"/>
          <w:sz w:val="21"/>
          <w:szCs w:val="21"/>
        </w:rPr>
        <w:t xml:space="preserve">A completion structure. No progress bar, no lessons remaining, no streak.</w:t>
      </w:r>
    </w:p>
    <w:p>
      <w:pPr>
        <w:pStyle w:val="Heading2"/>
        <w:spacing w:after="140" w:before="300"/>
      </w:pPr>
      <w:r>
        <w:rPr>
          <w:rFonts w:ascii="Calibri" w:cs="Calibri" w:eastAsia="Calibri" w:hAnsi="Calibri"/>
        </w:rPr>
        <w:t xml:space="preserve">Open — needs Graeme before writing begins</w:t>
      </w:r>
    </w:p>
    <w:p>
      <w:pPr>
        <w:pStyle w:val="ListParagraph"/>
        <w:numPr>
          <w:ilvl w:val="0"/>
          <w:numId w:val="2"/>
        </w:numPr>
        <w:spacing w:after="90"/>
      </w:pPr>
      <w:r>
        <w:rPr>
          <w:rFonts w:ascii="Calibri" w:cs="Calibri" w:eastAsia="Calibri" w:hAnsi="Calibri"/>
          <w:sz w:val="21"/>
          <w:szCs w:val="21"/>
        </w:rPr>
        <w:t xml:space="preserve">What does In Step mean to you, in your words? The name implies moving in step WITH something. With whom, or with what?</w:t>
      </w:r>
    </w:p>
    <w:p>
      <w:pPr>
        <w:pStyle w:val="ListParagraph"/>
        <w:numPr>
          <w:ilvl w:val="0"/>
          <w:numId w:val="2"/>
        </w:numPr>
        <w:spacing w:after="90"/>
      </w:pPr>
      <w:r>
        <w:rPr>
          <w:rFonts w:ascii="Calibri" w:cs="Calibri" w:eastAsia="Calibri" w:hAnsi="Calibri"/>
          <w:sz w:val="21"/>
          <w:szCs w:val="21"/>
        </w:rPr>
        <w:t xml:space="preserve">Where did it come from — is there existing material, or is it a working idea?</w:t>
      </w:r>
    </w:p>
    <w:p>
      <w:pPr>
        <w:pStyle w:val="ListParagraph"/>
        <w:numPr>
          <w:ilvl w:val="0"/>
          <w:numId w:val="2"/>
        </w:numPr>
        <w:spacing w:after="90"/>
      </w:pPr>
      <w:r>
        <w:rPr>
          <w:rFonts w:ascii="Calibri" w:cs="Calibri" w:eastAsia="Calibri" w:hAnsi="Calibri"/>
          <w:sz w:val="21"/>
          <w:szCs w:val="21"/>
        </w:rPr>
        <w:t xml:space="preserve">What does somebody come away with? Not a feeling; a different thing they do.</w:t>
      </w:r>
    </w:p>
    <w:p>
      <w:pPr>
        <w:pStyle w:val="ListParagraph"/>
        <w:numPr>
          <w:ilvl w:val="0"/>
          <w:numId w:val="2"/>
        </w:numPr>
        <w:spacing w:after="90"/>
      </w:pPr>
      <w:r>
        <w:rPr>
          <w:rFonts w:ascii="Calibri" w:cs="Calibri" w:eastAsia="Calibri" w:hAnsi="Calibri"/>
          <w:sz w:val="21"/>
          <w:szCs w:val="21"/>
        </w:rPr>
        <w:t xml:space="preserve">Length and shape: a fixed pathway of sessions, or a set of practices to return to?</w:t>
      </w:r>
    </w:p>
    <w:p>
      <w:pPr>
        <w:pStyle w:val="ListParagraph"/>
        <w:numPr>
          <w:ilvl w:val="0"/>
          <w:numId w:val="2"/>
        </w:numPr>
        <w:spacing w:after="90"/>
      </w:pPr>
      <w:r>
        <w:rPr>
          <w:rFonts w:ascii="Calibri" w:cs="Calibri" w:eastAsia="Calibri" w:hAnsi="Calibri"/>
          <w:sz w:val="21"/>
          <w:szCs w:val="21"/>
        </w:rPr>
        <w:t xml:space="preserve">Does In Step assume being outdoors, or does an indoor version exist?</w:t>
      </w:r>
    </w:p>
    <w:p>
      <w:pPr>
        <w:spacing w:after="140"/>
      </w:pPr>
      <w:r>
        <w:rPr>
          <w:rFonts w:ascii="Calibri" w:cs="Calibri" w:eastAsia="Calibri" w:hAnsi="Calibri"/>
          <w:sz w:val="21"/>
          <w:szCs w:val="21"/>
        </w:rPr>
        <w:t xml:space="preserve"/>
      </w:r>
    </w:p>
    <w:p>
      <w:pPr>
        <w:spacing w:after="140"/>
      </w:pPr>
      <w:r>
        <w:rPr>
          <w:rFonts w:ascii="Calibri" w:cs="Calibri" w:eastAsia="Calibri" w:hAnsi="Calibri"/>
          <w:color w:val="5A6B75"/>
          <w:sz w:val="19"/>
          <w:szCs w:val="19"/>
        </w:rPr>
        <w:t xml:space="preserve">Build New Habits · 03 Sep 2026 v1</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2026-09-04T15:52:42.085Z</dcterms:created>
  <dcterms:modified xsi:type="dcterms:W3CDTF">2026-09-04T15:52:42.085Z</dcterms:modified>
</cp:coreProperties>
</file>

<file path=docProps/custom.xml><?xml version="1.0" encoding="utf-8"?>
<Properties xmlns="http://schemas.openxmlformats.org/officeDocument/2006/custom-properties" xmlns:vt="http://schemas.openxmlformats.org/officeDocument/2006/docPropsVTypes"/>
</file>