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Calibri" w:cs="Calibri" w:eastAsia="Calibri" w:hAnsi="Calibri"/>
          <w:b/>
          <w:bCs/>
          <w:color w:val="5A6B75"/>
          <w:sz w:val="20"/>
          <w:szCs w:val="20"/>
        </w:rPr>
        <w:t xml:space="preserve">Alongside: Move · Build New Habits</w:t>
      </w:r>
    </w:p>
    <w:p>
      <w:pPr>
        <w:pStyle w:val="Heading1"/>
        <w:spacing w:after="60"/>
      </w:pPr>
      <w:r>
        <w:rPr>
          <w:rFonts w:ascii="Calibri" w:cs="Calibri" w:eastAsia="Calibri" w:hAnsi="Calibri"/>
        </w:rPr>
        <w:t xml:space="preserve">Task list — to beta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5A6B75"/>
          <w:sz w:val="21"/>
          <w:szCs w:val="21"/>
        </w:rPr>
        <w:t xml:space="preserve">03 Sep 2026 v1</w:t>
      </w:r>
    </w:p>
    <w:p>
      <w:pPr>
        <w:pBdr>
          <w:bottom w:val="single" w:color="BFCAD1" w:sz="6"/>
        </w:pBdr>
        <w:spacing w:after="180" w:before="100"/>
      </w:pPr>
    </w:p>
    <w:p>
      <w:pPr>
        <w:spacing w:after="1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Two lists. The first is only Graeme; nothing on it can be done by anyone else. The second is build work, in dependency order.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</w:rPr>
        <w:t xml:space="preserve">Graeme — blocking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4000"/>
      </w:tblGrid>
      <w:tr>
        <w:trPr>
          <w:tblHeader/>
        </w:trPr>
        <w:tc>
          <w:tcPr>
            <w:tcW w:type="dxa" w:w="1300"/>
            <w:shd w:fill="E8EE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When</w:t>
            </w:r>
          </w:p>
        </w:tc>
        <w:tc>
          <w:tcPr>
            <w:tcW w:type="dxa" w:w="3900"/>
            <w:shd w:fill="E8EE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4000"/>
            <w:shd w:fill="E8EE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Why it blocks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By Fri 5 Sep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Rotate the GitHub PAT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Expires Friday. Every session begins by cloning the repo. Without it nothing starts at all.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This week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HMRC sole-trader registration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Gates the business bank account and the ICO registration wording.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This week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ICO registration (£40)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be complete before any real user data is collected. Number goes in the Privacy Policy.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This week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Resolve the A1.11 age wording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Three different minimum ages across documents. Blocks the Foot Anstey pack.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This week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 the four compliance documents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They cannot go to Foot Anstey unsigned.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Before testers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Decide the domain switch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PWA storage is origin-bound. Moving after testers install loses their data. Must happen BEFORE anyone installs.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Soon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 Step — answer the five open questions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Content cannot be written without them. See the In Step specification.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Soon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 beta tester recruitment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Mid-September target and no task exists anywhere for finding the testers.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Ongoing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Clinical pack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Sent. Awaiting reviewer. Gates the red-flag screen, which has no code.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</w:rPr>
        <w:t xml:space="preserve">Build — in dependency order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4000"/>
      </w:tblGrid>
      <w:tr>
        <w:trPr>
          <w:tblHeader/>
        </w:trPr>
        <w:tc>
          <w:tcPr>
            <w:tcW w:type="dxa" w:w="1300"/>
            <w:shd w:fill="E8EE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900"/>
            <w:shd w:fill="E8EE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4000"/>
            <w:shd w:fill="E8EE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Why it sits here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ARC-3-SETUP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 setup: four questions, one aim, up to three strands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arc is what makes a suggestion worth leading with. Everything structural depends on it existing.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AIM-VOCAB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Author the aim-to-strand vocabulary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long pole. Ships provisional and labelled as ours, like the goal–zone map. Must include mind strands.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GOALS-MIGRATE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Remove goals from onboarding; walk all twelve read sites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Done WITH the arc, not before — the coach copy that dies needs somewhere to go.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LOBBY-1b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Lobby and session space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a layout job. coach-proposal requires a check-in, so the split is what MAKES the suggestion promotable.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SUGGEST-1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Provisional suggestion before check-in, with visible revision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Depends on the lobby existing.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CONTENT-STRETCH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~25–30 stretches: chest, inner thigh, wrists and arms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Independent — can run in parallel. Physio review before shipping.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CONTENT-INSTEP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 Step, built on the five pathways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Blocked on Graeme’s five answers.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TIER-VISIBLE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 the tier; gold on the arc panel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meaningful once the arc panel exists.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EXPORT-1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export, free and Plan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 planning session, AFTER the arc so it follows rather than shapes it.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RED-FLAG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Red-flag screen, two escalation levels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Zero code. Blocked on clinical sign-off. REQUIRED BEFORE BETA.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</w:rPr>
        <w:t xml:space="preserve">Smaller, already logged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SKIP-MEANS-TOO-HARD — gym-programme.js:929 records every skip as too-hard. Live fault, needs a product ruling.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STRENGTH-FURNITURE — “3 sets” and “How heavy” appearing on stretches.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EQUIP-LINK — a “kit changed?” link instead of a mandatory equipment screen.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CARD-3 clipping — video link behind the sticky bar, ghost text, emoji overlap.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PRECACHE-IMPORT — permanent false red on goal-review.css; the gate does not follow @import.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SEVERE-ESCAPE — should “build anyway” exist at pain 8+? Clinical question.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ARC-ZONE-MAP — replace stretch-goal-zones.js when the physiotherapist replies. One file edit.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color w:val="5A6B75"/>
          <w:sz w:val="19"/>
          <w:szCs w:val="19"/>
        </w:rPr>
        <w:t xml:space="preserve">Build New Habits · 03 Sep 2026 v1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2026-09-04T15:52:42.098Z</dcterms:created>
  <dcterms:modified xsi:type="dcterms:W3CDTF">2026-09-04T15:52:42.098Z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