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  <w:r>
        <w:rPr>
          <w:rFonts w:ascii="Calibri" w:cs="Calibri" w:eastAsia="Calibri" w:hAnsi="Calibri"/>
          <w:b/>
          <w:bCs/>
          <w:color w:val="5A6B75"/>
          <w:sz w:val="20"/>
          <w:szCs w:val="20"/>
        </w:rPr>
        <w:t xml:space="preserve">Alongside: Move · Build New Habits</w:t>
      </w:r>
    </w:p>
    <w:p>
      <w:pPr>
        <w:pStyle w:val="Heading1"/>
        <w:spacing w:after="60"/>
      </w:pPr>
      <w:r>
        <w:rPr>
          <w:rFonts w:ascii="Calibri" w:cs="Calibri" w:eastAsia="Calibri" w:hAnsi="Calibri"/>
        </w:rPr>
        <w:t xml:space="preserve">Intended Purpose Statement</w:t>
      </w:r>
    </w:p>
    <w:p>
      <w:pPr>
        <w:spacing w:after="220"/>
      </w:pPr>
      <w:r>
        <w:rPr>
          <w:rFonts w:ascii="Calibri" w:cs="Calibri" w:eastAsia="Calibri" w:hAnsi="Calibri"/>
          <w:i/>
          <w:iCs/>
          <w:color w:val="5A6B75"/>
          <w:sz w:val="21"/>
          <w:szCs w:val="21"/>
        </w:rPr>
        <w:t xml:space="preserve">03 Sep 2026 v1 — internal governing document</w:t>
      </w:r>
    </w:p>
    <w:p>
      <w:pPr>
        <w:pBdr>
          <w:bottom w:val="single" w:color="BFCAD1" w:sz="6"/>
        </w:pBdr>
        <w:spacing w:after="180" w:before="100"/>
      </w:pPr>
    </w:p>
    <w:p>
      <w:pPr>
        <w:spacing w:after="1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This is the document every wording decision is checked against. It is internal. It is not legal advice and was not written by a lawyer.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</w:rPr>
        <w:t xml:space="preserve">Why this exists, and why it matters more than it looks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Under UK MDR 2002, intended purpose determines classification, and the manufacturer sets the intended purpose. </w:t>
      </w:r>
      <w:r>
        <w:rPr>
          <w:rFonts w:ascii="Calibri" w:cs="Calibri" w:eastAsia="Calibri" w:hAnsi="Calibri"/>
          <w:sz w:val="21"/>
          <w:szCs w:val="21"/>
        </w:rPr>
        <w:t xml:space="preserve">That means our regulatory position is something we DESIGN, not something we discover. It is also something we can lose accidentally, by wording a feature as though it treats a condition.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“Assume we are a medical device, to be safe” is the WRONG instinct here, </w:t>
      </w:r>
      <w:r>
        <w:rPr>
          <w:rFonts w:ascii="Calibri" w:cs="Calibri" w:eastAsia="Calibri" w:hAnsi="Calibri"/>
          <w:sz w:val="21"/>
          <w:szCs w:val="21"/>
        </w:rPr>
        <w:t xml:space="preserve">and it is worth stating plainly because it is the intuitive one. A medical device requires UKCA marking, MHRA registration, technical documentation, post-market surveillance, and an approved body above Class I. Operating as an unregistered medical device is the offence. Over-claiming does not buy caution; it assumes a burden we cannot currently meet. The safe position is to be definitively OUTSIDE, and to stay there deliberately.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</w:rPr>
        <w:t xml:space="preserve">Intended purpose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Alongside: Move is a general fitness and wellbeing coaching application. </w:t>
      </w:r>
      <w:r>
        <w:rPr>
          <w:rFonts w:ascii="Calibri" w:cs="Calibri" w:eastAsia="Calibri" w:hAnsi="Calibri"/>
          <w:sz w:val="21"/>
          <w:szCs w:val="21"/>
        </w:rPr>
        <w:t xml:space="preserve">Its purpose is to help adults move in a way that fits how they are on a given day, and to support a self-directed sense of direction over time.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It is intended for adults aged 18 and over who choose to use it for their own general fitness and wellbeing. It is not intended for use by or on behalf of a healthcare professional in the care of a patient.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</w:rPr>
        <w:t xml:space="preserve">What it does not do — the hard boundary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Alongside: Move does not diagnose, treat, prevent, monitor or alleviate any disease, injury or condition. Nothing in the product may be designed or described so as to imply otherwise.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It does not assess or diagnose anything. Where the app asks about pain or conditions, it does so to AVOID HARM, not to evaluate the person.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It does not treat or rehabilitate. It has no therapeutic claim of any kind.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It does not monitor a condition, and no output is intended to inform a clinical decision.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It does not provide medical, physiotherapeutic or psychological advice.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It is not a mental health service, and does not counsel, assess or intervene.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</w:rPr>
        <w:t xml:space="preserve">The two features closest to the line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Condition filtering. </w:t>
      </w:r>
      <w:r>
        <w:rPr>
          <w:rFonts w:ascii="Calibri" w:cs="Calibri" w:eastAsia="Calibri" w:hAnsi="Calibri"/>
          <w:sz w:val="21"/>
          <w:szCs w:val="21"/>
        </w:rPr>
        <w:t xml:space="preserve">The app asks about conditions and soreness and excludes exercises accordingly. This is a SAFETY EXCLUSION, not condition management: the app is avoiding what might hurt somebody, not treating what they have. That framing is load-bearing and must survive every rewrite. “We work around a sore back” is inside. “We help your back pain” is outside.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Prescribed exercises. </w:t>
      </w:r>
      <w:r>
        <w:rPr>
          <w:rFonts w:ascii="Calibri" w:cs="Calibri" w:eastAsia="Calibri" w:hAnsi="Calibri"/>
          <w:sz w:val="21"/>
          <w:szCs w:val="21"/>
        </w:rPr>
        <w:t xml:space="preserve">A place to record movements a professional gave the person. The app STORES and DISPLAYS what somebody else prescribed. It does not originate, adjust, validate or interpret it, and must never appear to.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</w:rPr>
        <w:t xml:space="preserve">Wording rules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800"/>
      </w:tblGrid>
      <w:tr>
        <w:trPr>
          <w:tblHeader/>
        </w:trPr>
        <w:tc>
          <w:tcPr>
            <w:tcW w:type="dxa" w:w="4400"/>
            <w:shd w:fill="E8EE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 not write</w:t>
            </w:r>
          </w:p>
        </w:tc>
        <w:tc>
          <w:tcPr>
            <w:tcW w:type="dxa" w:w="4800"/>
            <w:shd w:fill="E8EE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Write instead</w:t>
            </w:r>
          </w:p>
        </w:tc>
      </w:tr>
      <w:tr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Reduces back pain</w:t>
            </w:r>
          </w:p>
        </w:tc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Movement that works around a sore back</w:t>
            </w:r>
          </w:p>
        </w:tc>
      </w:tr>
      <w:tr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Improves your mental health</w:t>
            </w:r>
          </w:p>
        </w:tc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 programme about noticing, and about other people</w:t>
            </w:r>
          </w:p>
        </w:tc>
      </w:tr>
      <w:tr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Treats / manages / rehabilitates …</w:t>
            </w:r>
          </w:p>
        </w:tc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Supports / works around / makes room for …</w:t>
            </w:r>
          </w:p>
        </w:tc>
      </w:tr>
      <w:tr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Clinically proven, clinically reviewed</w:t>
            </w:r>
          </w:p>
        </w:tc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Informed by published research (with the reference)</w:t>
            </w:r>
          </w:p>
        </w:tc>
      </w:tr>
      <w:tr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Prescribed for you / your programme is prescribed</w:t>
            </w:r>
          </w:p>
        </w:tc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Suggested for you / built with you</w:t>
            </w:r>
          </w:p>
        </w:tc>
      </w:tr>
      <w:tr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Assesses your condition</w:t>
            </w:r>
          </w:p>
        </w:tc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Asks how you are, so it can avoid what might hurt</w:t>
            </w:r>
          </w:p>
        </w:tc>
      </w:tr>
      <w:tr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Safe for [condition]</w:t>
            </w:r>
          </w:p>
        </w:tc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Excludes movements commonly cautioned for [condition]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Named conditions may be referenced as things we AVOID AGGRAVATING, never as things we address. </w:t>
      </w:r>
      <w:r>
        <w:rPr>
          <w:rFonts w:ascii="Calibri" w:cs="Calibri" w:eastAsia="Calibri" w:hAnsi="Calibri"/>
          <w:sz w:val="21"/>
          <w:szCs w:val="21"/>
        </w:rPr>
        <w:t xml:space="preserve">General wellness positioning requires that we make no reference to diseases the product is intended to diagnose or treat. Referring to a condition in order to steer away from it is a different act, and the wording must make that obvious to a reader who is not looking for the distinction.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</w:rPr>
        <w:t xml:space="preserve">Mind and wellbeing content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This is where drift is easiest and where the boundary needs most care. </w:t>
      </w:r>
      <w:r>
        <w:rPr>
          <w:rFonts w:ascii="Calibri" w:cs="Calibri" w:eastAsia="Calibri" w:hAnsi="Calibri"/>
          <w:sz w:val="21"/>
          <w:szCs w:val="21"/>
        </w:rPr>
        <w:t xml:space="preserve">The existing psychological specification states “Alongside is a fitness app, not a mental health app.” Adding programmes such as In Step puts pressure on that sentence, and the resolution must be deliberate rather than drifted past.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resolution: our mind content develops CONNECTION AND EMPATHY. It does not treat distress. </w:t>
      </w:r>
      <w:r>
        <w:rPr>
          <w:rFonts w:ascii="Calibri" w:cs="Calibri" w:eastAsia="Calibri" w:hAnsi="Calibri"/>
          <w:sz w:val="21"/>
          <w:szCs w:val="21"/>
        </w:rPr>
        <w:t xml:space="preserve">Its outcomes are nature connectedness, wellbeing and prosociality — not symptom reduction. That is what the research it draws on actually measures, so the honest description and the safe description are the same description.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No content addresses a named mental health condition.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No content is framed as therapy, treatment, intervention or a substitute for support.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Existing crisis and safeguarding routes are unchanged and remain free in every tier.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</w:rPr>
        <w:t xml:space="preserve">Review triggers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Re-read this document before shipping anything that: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mentions a named condition anywhere a user can see it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describes an outcome rather than an activity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would be handed to, or read by, a health professional — the export in particular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uses the words assess, monitor, treat, manage, improve, reduce, or prescribe about a person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One question is worth putting to a solicitor, and only one: </w:t>
      </w:r>
      <w:r>
        <w:rPr>
          <w:rFonts w:ascii="Calibri" w:cs="Calibri" w:eastAsia="Calibri" w:hAnsi="Calibri"/>
          <w:sz w:val="21"/>
          <w:szCs w:val="21"/>
        </w:rPr>
        <w:t xml:space="preserve">does anything here read as a health claim? It is a yes/no that shapes wording once, cheap to ask alongside work already commissioned. Wording and positioning otherwise do not require sign-off.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40"/>
      </w:pPr>
      <w:r>
        <w:rPr>
          <w:rFonts w:ascii="Calibri" w:cs="Calibri" w:eastAsia="Calibri" w:hAnsi="Calibri"/>
          <w:color w:val="5A6B75"/>
          <w:sz w:val="19"/>
          <w:szCs w:val="19"/>
        </w:rPr>
        <w:t xml:space="preserve">Build New Habits · 03 Sep 2026 v1 · internal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2026-09-04T15:52:42.052Z</dcterms:created>
  <dcterms:modified xsi:type="dcterms:W3CDTF">2026-09-04T15:52:42.063Z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