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Calibri" w:cs="Calibri" w:eastAsia="Calibri" w:hAnsi="Calibri"/>
          <w:b/>
          <w:bCs/>
          <w:color w:val="5A6B75"/>
          <w:sz w:val="20"/>
          <w:szCs w:val="20"/>
        </w:rPr>
        <w:t xml:space="preserve">Alongside: Move</w:t>
      </w:r>
    </w:p>
    <w:p>
      <w:pPr>
        <w:pStyle w:val="Heading1"/>
        <w:spacing w:after="60"/>
      </w:pPr>
      <w:r>
        <w:rPr>
          <w:rFonts w:ascii="Calibri" w:cs="Calibri" w:eastAsia="Calibri" w:hAnsi="Calibri"/>
        </w:rPr>
        <w:t xml:space="preserve">The arc, and the shape of the app around it</w:t>
      </w:r>
    </w:p>
    <w:p>
      <w:pPr>
        <w:spacing w:after="220" w:before="0"/>
      </w:pPr>
      <w:r>
        <w:rPr>
          <w:rFonts w:ascii="Calibri" w:cs="Calibri" w:eastAsia="Calibri" w:hAnsi="Calibri"/>
          <w:i/>
          <w:iCs/>
          <w:color w:val="5A6B75"/>
          <w:sz w:val="21"/>
          <w:szCs w:val="21"/>
        </w:rPr>
        <w:t xml:space="preserve">03 Sep 2026 v3 — specification</w:t>
      </w:r>
    </w:p>
    <w:p>
      <w:pPr>
        <w:pBdr>
          <w:bottom w:val="single" w:color="BFCAD1" w:sz="6"/>
        </w:pBdr>
        <w:spacing w:after="180" w:before="100"/>
      </w:pPr>
    </w:p>
    <w:p>
      <w:pPr>
        <w:pStyle w:val="Heading2"/>
        <w:spacing w:after="140" w:before="300"/>
      </w:pPr>
      <w:r>
        <w:rPr>
          <w:rFonts w:ascii="Calibri" w:cs="Calibri" w:eastAsia="Calibri" w:hAnsi="Calibri"/>
        </w:rPr>
        <w:t xml:space="preserve">1. Why this exists</w:t>
      </w:r>
    </w:p>
    <w:p>
      <w:pPr>
        <w:spacing w:after="140" w:before="0"/>
      </w:pPr>
      <w:r>
        <w:rPr>
          <w:rFonts w:ascii="Calibri" w:cs="Calibri" w:eastAsia="Calibri" w:hAnsi="Calibri"/>
          <w:sz w:val="21"/>
          <w:szCs w:val="21"/>
        </w:rPr>
        <w:t xml:space="preserve">Two problems, and they turn out to be the same problem.</w:t>
      </w:r>
    </w:p>
    <w:p>
      <w:pPr>
        <w:spacing w:after="140"/>
      </w:pPr>
      <w:r>
        <w:rPr>
          <w:rFonts w:ascii="Calibri" w:cs="Calibri" w:eastAsia="Calibri" w:hAnsi="Calibri"/>
          <w:b/>
          <w:bCs/>
          <w:sz w:val="21"/>
          <w:szCs w:val="21"/>
        </w:rPr>
        <w:t xml:space="preserve">The app is overwhelming. </w:t>
      </w:r>
      <w:r>
        <w:rPr>
          <w:rFonts w:ascii="Calibri" w:cs="Calibri" w:eastAsia="Calibri" w:hAnsi="Calibri"/>
          <w:sz w:val="21"/>
          <w:szCs w:val="21"/>
        </w:rPr>
        <w:t xml:space="preserve">Home offers eight doors of equal weight. The session builder runs to nine screens. Graeme, 3 Sep: “I find the whole app overwhelming for choice and navigation.”</w:t>
      </w:r>
    </w:p>
    <w:p>
      <w:pPr>
        <w:spacing w:after="140"/>
      </w:pPr>
      <w:r>
        <w:rPr>
          <w:rFonts w:ascii="Calibri" w:cs="Calibri" w:eastAsia="Calibri" w:hAnsi="Calibri"/>
          <w:b/>
          <w:bCs/>
          <w:sz w:val="21"/>
          <w:szCs w:val="21"/>
        </w:rPr>
        <w:t xml:space="preserve">The arc is invisible. </w:t>
      </w:r>
      <w:r>
        <w:rPr>
          <w:rFonts w:ascii="Calibri" w:cs="Calibri" w:eastAsia="Calibri" w:hAnsi="Calibri"/>
          <w:sz w:val="21"/>
          <w:szCs w:val="21"/>
        </w:rPr>
        <w:t xml:space="preserve">It sits three taps deep behind two doors, and nothing about it is legible on day one. The value it promises — that in six weeks this thing will have held you and taken you somewhere — cannot be seen at the moment somebody decides whether to pay for it.</w:t>
      </w:r>
    </w:p>
    <w:p>
      <w:pPr>
        <w:spacing w:after="140" w:before="0"/>
      </w:pPr>
      <w:r>
        <w:rPr>
          <w:rFonts w:ascii="Calibri" w:cs="Calibri" w:eastAsia="Calibri" w:hAnsi="Calibri"/>
          <w:sz w:val="21"/>
          <w:szCs w:val="21"/>
        </w:rPr>
        <w:t xml:space="preserve">Both are solved by deciding what the app is FOR at each moment, rather than by rearranging tiles. The structure below does that; the arc is what fills the space it creates.</w:t>
      </w:r>
    </w:p>
    <w:p>
      <w:pPr>
        <w:pStyle w:val="Heading2"/>
        <w:spacing w:after="140" w:before="300"/>
      </w:pPr>
      <w:r>
        <w:rPr>
          <w:rFonts w:ascii="Calibri" w:cs="Calibri" w:eastAsia="Calibri" w:hAnsi="Calibri"/>
        </w:rPr>
        <w:t xml:space="preserve">2. What the evidence says</w:t>
      </w:r>
    </w:p>
    <w:p>
      <w:pPr>
        <w:spacing w:after="140" w:before="0"/>
      </w:pPr>
      <w:r>
        <w:rPr>
          <w:rFonts w:ascii="Calibri" w:cs="Calibri" w:eastAsia="Calibri" w:hAnsi="Calibri"/>
          <w:sz w:val="21"/>
          <w:szCs w:val="21"/>
        </w:rPr>
        <w:t xml:space="preserve">Three things were tested against the running code, not assumed. They shape everything that follows.</w:t>
      </w:r>
    </w:p>
    <w:p>
      <w:pPr>
        <w:spacing w:after="140"/>
      </w:pPr>
      <w:r>
        <w:rPr>
          <w:rFonts w:ascii="Calibri" w:cs="Calibri" w:eastAsia="Calibri" w:hAnsi="Calibri"/>
          <w:b/>
          <w:bCs/>
          <w:sz w:val="21"/>
          <w:szCs w:val="21"/>
        </w:rPr>
        <w:t xml:space="preserve">Onboarding goals do nothing. </w:t>
      </w:r>
      <w:r>
        <w:rPr>
          <w:rFonts w:ascii="Calibri" w:cs="Calibri" w:eastAsia="Calibri" w:hAnsi="Calibri"/>
          <w:sz w:val="21"/>
          <w:szCs w:val="21"/>
        </w:rPr>
        <w:t xml:space="preserve">Controlled for randomness first (the same goal produces five different sessions in five runs). Across twelve runs per goal, “get stronger” and “improve flexibility” share 48% of their exercise pool, and the non-overlapping remainder is noise: unique to flexibility were Mountain Climbers and Hip Thrust; unique to get-stronger were Ankle Alphabet and Seated Side Bend. Each list contains the other’s work. The coach’s words are byte-identical across all goals including none.</w:t>
      </w:r>
    </w:p>
    <w:p>
      <w:pPr>
        <w:spacing w:after="140"/>
      </w:pPr>
      <w:r>
        <w:rPr>
          <w:rFonts w:ascii="Calibri" w:cs="Calibri" w:eastAsia="Calibri" w:hAnsi="Calibri"/>
          <w:b/>
          <w:bCs/>
          <w:sz w:val="21"/>
          <w:szCs w:val="21"/>
        </w:rPr>
        <w:t xml:space="preserve">The drop-in already exists and is mislabelled. </w:t>
      </w:r>
      <w:r>
        <w:rPr>
          <w:rFonts w:ascii="Calibri" w:cs="Calibri" w:eastAsia="Calibri" w:hAnsi="Calibri"/>
          <w:sz w:val="21"/>
          <w:szCs w:val="21"/>
        </w:rPr>
        <w:t xml:space="preserve">“Unsure? Coach decides” routes to coach-proposal and requires a check-in — check in, coach looks at you, coach suggests. That is the drop-in experience, presented as the eighth tile and named as a confession of indecision.</w:t>
      </w:r>
    </w:p>
    <w:p>
      <w:pPr>
        <w:spacing w:after="140"/>
      </w:pPr>
      <w:r>
        <w:rPr>
          <w:rFonts w:ascii="Calibri" w:cs="Calibri" w:eastAsia="Calibri" w:hAnsi="Calibri"/>
          <w:b/>
          <w:bCs/>
          <w:sz w:val="21"/>
          <w:szCs w:val="21"/>
        </w:rPr>
        <w:t xml:space="preserve">Tier is stored and never shown. </w:t>
      </w:r>
      <w:r>
        <w:rPr>
          <w:rFonts w:ascii="Calibri" w:cs="Calibri" w:eastAsia="Calibri" w:hAnsi="Calibri"/>
          <w:sz w:val="21"/>
          <w:szCs w:val="21"/>
        </w:rPr>
        <w:t xml:space="preserve">store.tier holds free | personal | athlete and is read by seven files. It is displayed nowhere — not on Home, not in Settings, not in nav. The only way to determine tier is a developer gesture on the version number.</w:t>
      </w:r>
    </w:p>
    <w:p>
      <w:pPr>
        <w:pBdr>
          <w:bottom w:val="single" w:color="BFCAD1" w:sz="6"/>
        </w:pBdr>
        <w:spacing w:after="180" w:before="100"/>
      </w:pPr>
    </w:p>
    <w:p>
      <w:pPr>
        <w:pStyle w:val="Heading2"/>
        <w:spacing w:after="140" w:before="300"/>
      </w:pPr>
      <w:r>
        <w:rPr>
          <w:rFonts w:ascii="Calibri" w:cs="Calibri" w:eastAsia="Calibri" w:hAnsi="Calibri"/>
        </w:rPr>
        <w:t xml:space="preserve">3. Structure: a lobby and a session space</w:t>
      </w:r>
    </w:p>
    <w:p>
      <w:pPr>
        <w:spacing w:after="140" w:before="0"/>
      </w:pPr>
      <w:r>
        <w:rPr>
          <w:rFonts w:ascii="Calibri" w:cs="Calibri" w:eastAsia="Calibri" w:hAnsi="Calibri"/>
          <w:sz w:val="21"/>
          <w:szCs w:val="21"/>
        </w:rPr>
        <w:t xml:space="preserve">The app becomes two spaces with one gate between them.</w:t>
      </w:r>
    </w:p>
    <w:p>
      <w:pPr>
        <w:spacing w:after="140"/>
      </w:pPr>
      <w:r>
        <w:rPr>
          <w:rFonts w:ascii="Calibri" w:cs="Calibri" w:eastAsia="Calibri" w:hAnsi="Calibri"/>
          <w:b/>
          <w:bCs/>
          <w:sz w:val="21"/>
          <w:szCs w:val="21"/>
        </w:rPr>
        <w:t xml:space="preserve">Home is a lobby. </w:t>
      </w:r>
      <w:r>
        <w:rPr>
          <w:rFonts w:ascii="Calibri" w:cs="Calibri" w:eastAsia="Calibri" w:hAnsi="Calibri"/>
          <w:sz w:val="21"/>
          <w:szCs w:val="21"/>
        </w:rPr>
        <w:t xml:space="preserve">The arc, an invitation to start, and the reference sections. No check-in. Somebody reading their progress, browsing the library, looking up a prescribed exercise or changing a setting is never asked how their back is on the way.</w:t>
      </w:r>
    </w:p>
    <w:p>
      <w:pPr>
        <w:spacing w:after="140"/>
      </w:pPr>
      <w:r>
        <w:rPr>
          <w:rFonts w:ascii="Calibri" w:cs="Calibri" w:eastAsia="Calibri" w:hAnsi="Calibri"/>
          <w:b/>
          <w:bCs/>
          <w:sz w:val="21"/>
          <w:szCs w:val="21"/>
        </w:rPr>
        <w:t xml:space="preserve">Today is the session space. </w:t>
      </w:r>
      <w:r>
        <w:rPr>
          <w:rFonts w:ascii="Calibri" w:cs="Calibri" w:eastAsia="Calibri" w:hAnsi="Calibri"/>
          <w:sz w:val="21"/>
          <w:szCs w:val="21"/>
        </w:rPr>
        <w:t xml:space="preserve">Reached through the invitation, after checking in. The coach’s suggestion leads; “or pick your own” sits underneath. This is the drop-in, promoted from the eighth tile to the page.</w:t>
      </w:r>
    </w:p>
    <w:p>
      <w:pPr>
        <w:spacing w:after="140"/>
      </w:pPr>
      <w:r>
        <w:rPr>
          <w:rFonts w:ascii="Calibri" w:cs="Calibri" w:eastAsia="Calibri" w:hAnsi="Calibri"/>
          <w:b/>
          <w:bCs/>
          <w:sz w:val="21"/>
          <w:szCs w:val="21"/>
        </w:rPr>
        <w:t xml:space="preserve">THE LOBBY RULE. </w:t>
      </w:r>
      <w:r>
        <w:rPr>
          <w:rFonts w:ascii="Calibri" w:cs="Calibri" w:eastAsia="Calibri" w:hAnsi="Calibri"/>
          <w:sz w:val="21"/>
          <w:szCs w:val="21"/>
        </w:rPr>
        <w:t xml:space="preserve">Anything that starts a movement session lives beyond the check-in. Everything else lives in the lobby. This is the answer to every future proposal for a new tile, and it exists because the eight-door Home was built one reasonable addition at a time.</w:t>
      </w:r>
    </w:p>
    <w:p>
      <w:pPr>
        <w:spacing w:after="140" w:before="0"/>
      </w:pPr>
      <w:r>
        <w:rPr>
          <w:rFonts w:ascii="Calibri" w:cs="Calibri" w:eastAsia="Calibri" w:hAnsi="Calibri"/>
          <w:sz w:val="21"/>
          <w:szCs w:val="21"/>
        </w:rPr>
        <w:t xml:space="preserve">Settings passes that test and sits at the foot of the lobby, separated by a rule rather than grouped under an “Admin” heading — that is system vocabulary, not the coach’s.</w:t>
      </w:r>
    </w:p>
    <w:p>
      <w:pPr>
        <w:spacing w:after="140"/>
      </w:pPr>
      <w:r>
        <w:rPr>
          <w:rFonts w:ascii="Calibri" w:cs="Calibri" w:eastAsia="Calibri" w:hAnsi="Calibri"/>
          <w:b/>
          <w:bCs/>
          <w:sz w:val="21"/>
          <w:szCs w:val="21"/>
        </w:rPr>
        <w:t xml:space="preserve">The check-in requirement moves from per-door flags to the single gate. </w:t>
      </w:r>
      <w:r>
        <w:rPr>
          <w:rFonts w:ascii="Calibri" w:cs="Calibri" w:eastAsia="Calibri" w:hAnsi="Calibri"/>
          <w:sz w:val="21"/>
          <w:szCs w:val="21"/>
        </w:rPr>
        <w:t xml:space="preserve">It is stated on the invitation (“I’ll ask how you’re doing first”) so it is a known price of entry rather than an ambush.</w:t>
      </w:r>
    </w:p>
    <w:p>
      <w:pPr>
        <w:pStyle w:val="Heading2"/>
        <w:spacing w:after="140" w:before="300"/>
      </w:pPr>
      <w:r>
        <w:rPr>
          <w:rFonts w:ascii="Calibri" w:cs="Calibri" w:eastAsia="Calibri" w:hAnsi="Calibri"/>
        </w:rPr>
        <w:t xml:space="preserve">4. Free and premium are different verbs</w:t>
      </w:r>
    </w:p>
    <w:p>
      <w:pPr>
        <w:spacing w:after="140"/>
      </w:pPr>
      <w:r>
        <w:rPr>
          <w:rFonts w:ascii="Calibri" w:cs="Calibri" w:eastAsia="Calibri" w:hAnsi="Calibri"/>
          <w:b/>
          <w:bCs/>
          <w:sz w:val="21"/>
          <w:szCs w:val="21"/>
        </w:rPr>
        <w:t xml:space="preserve">DECIDED 3 Sep. These are not one screen with a panel missing. </w:t>
      </w:r>
      <w:r>
        <w:rPr>
          <w:rFonts w:ascii="Calibri" w:cs="Calibri" w:eastAsia="Calibri" w:hAnsi="Calibri"/>
          <w:sz w:val="21"/>
          <w:szCs w:val="21"/>
        </w:rPr>
        <w:t xml:space="preserve">Free is “you decide, I’ll handle it”. Premium is “I’ve been thinking about this, here’s what I’d do.” Two coaching relationships — the drop-in and the athlete — not one relationship with a feature gate across it.</w:t>
      </w:r>
    </w:p>
    <w:p>
      <w:pPr>
        <w:spacing w:after="140" w:before="0"/>
      </w:pPr>
      <w:r>
        <w:rPr>
          <w:rFonts w:ascii="Calibri" w:cs="Calibri" w:eastAsia="Calibri" w:hAnsi="Calibri"/>
          <w:sz w:val="21"/>
          <w:szCs w:val="21"/>
        </w:rPr>
        <w:t xml:space="preserve">This resolves the problem that a lesser suggestion would create. Free cannot feel like a diminished premium, because free is not given a suggestion at all. It is given something complete on its own terms.</w:t>
      </w:r>
    </w:p>
    <w:p>
      <w:pPr>
        <w:spacing w:after="140"/>
      </w:pPr>
      <w:r>
        <w:rPr>
          <w:rFonts w:ascii="Calibri" w:cs="Calibri" w:eastAsia="Calibri" w:hAnsi="Calibri"/>
          <w:b/>
          <w:bCs/>
          <w:sz w:val="21"/>
          <w:szCs w:val="21"/>
        </w:rPr>
        <w:t xml:space="preserve">It is also the honest arrangement. </w:t>
      </w:r>
      <w:r>
        <w:rPr>
          <w:rFonts w:ascii="Calibri" w:cs="Calibri" w:eastAsia="Calibri" w:hAnsi="Calibri"/>
          <w:sz w:val="21"/>
          <w:szCs w:val="21"/>
        </w:rPr>
        <w:t xml:space="preserve">The coach genuinely knows little about a free user between sessions. A confident pre-session suggestion built on that would be the same lie the onboarding goals were — the appearance of consideration without the substance.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shd w:fill="E8EEF2" w:val="clear"/>
            <w:tcMar>
              <w:top w:type="dxa" w:w="80"/>
              <w:left w:type="dxa" w:w="110"/>
              <w:bottom w:type="dxa" w:w="80"/>
              <w:right w:type="dxa" w:w="110"/>
            </w:tcMar>
          </w:tcPr>
          <w:p>
            <w:r>
              <w:rPr>
                <w:rFonts w:ascii="Calibri" w:cs="Calibri" w:eastAsia="Calibri" w:hAnsi="Calibri"/>
                <w:b/>
                <w:bCs/>
                <w:sz w:val="19"/>
                <w:szCs w:val="19"/>
              </w:rPr>
              <w:t xml:space="preserve"/>
            </w:r>
          </w:p>
        </w:tc>
        <w:tc>
          <w:tcPr>
            <w:tcW w:type="dxa" w:w="7200"/>
            <w:shd w:fill="E8EEF2" w:val="clear"/>
            <w:tcMar>
              <w:top w:type="dxa" w:w="80"/>
              <w:left w:type="dxa" w:w="110"/>
              <w:bottom w:type="dxa" w:w="80"/>
              <w:right w:type="dxa" w:w="110"/>
            </w:tcMar>
          </w:tcPr>
          <w:p>
            <w:r>
              <w:rPr>
                <w:rFonts w:ascii="Calibri" w:cs="Calibri" w:eastAsia="Calibri" w:hAnsi="Calibri"/>
                <w:b/>
                <w:bCs/>
                <w:sz w:val="19"/>
                <w:szCs w:val="19"/>
              </w:rPr>
              <w:t xml:space="preserve">What the screen does</w:t>
            </w:r>
          </w:p>
        </w:tc>
      </w:tr>
      <w:tr>
        <w:tc>
          <w:tcPr>
            <w:tcW w:type="dxa" w:w="2000"/>
            <w:tcMar>
              <w:top w:type="dxa" w:w="80"/>
              <w:left w:type="dxa" w:w="110"/>
              <w:bottom w:type="dxa" w:w="80"/>
              <w:right w:type="dxa" w:w="110"/>
            </w:tcMar>
          </w:tcPr>
          <w:p>
            <w:r>
              <w:rPr>
                <w:rFonts w:ascii="Calibri" w:cs="Calibri" w:eastAsia="Calibri" w:hAnsi="Calibri"/>
                <w:sz w:val="19"/>
                <w:szCs w:val="19"/>
              </w:rPr>
              <w:t xml:space="preserve">Free</w:t>
            </w:r>
          </w:p>
        </w:tc>
        <w:tc>
          <w:tcPr>
            <w:tcW w:type="dxa" w:w="7200"/>
            <w:tcMar>
              <w:top w:type="dxa" w:w="80"/>
              <w:left w:type="dxa" w:w="110"/>
              <w:bottom w:type="dxa" w:w="80"/>
              <w:right w:type="dxa" w:w="110"/>
            </w:tcMar>
          </w:tcPr>
          <w:p>
            <w:r>
              <w:rPr>
                <w:rFonts w:ascii="Calibri" w:cs="Calibri" w:eastAsia="Calibri" w:hAnsi="Calibri"/>
                <w:sz w:val="19"/>
                <w:szCs w:val="19"/>
              </w:rPr>
              <w:t xml:space="preserve">Asks “what do you want to do today?” and hands over the controls. Options grouped under MOVE YOUR BODY and SETTLE YOUR MIND — headings, not doors. Everything visible on one screen. A “Not sure? I’ll pick something” fallback, honest about going on how you are today rather than on a plan.</w:t>
            </w:r>
          </w:p>
        </w:tc>
      </w:tr>
      <w:tr>
        <w:tc>
          <w:tcPr>
            <w:tcW w:type="dxa" w:w="2000"/>
            <w:tcMar>
              <w:top w:type="dxa" w:w="80"/>
              <w:left w:type="dxa" w:w="110"/>
              <w:bottom w:type="dxa" w:w="80"/>
              <w:right w:type="dxa" w:w="110"/>
            </w:tcMar>
          </w:tcPr>
          <w:p>
            <w:r>
              <w:rPr>
                <w:rFonts w:ascii="Calibri" w:cs="Calibri" w:eastAsia="Calibri" w:hAnsi="Calibri"/>
                <w:sz w:val="19"/>
                <w:szCs w:val="19"/>
              </w:rPr>
              <w:t xml:space="preserve">Plan</w:t>
            </w:r>
          </w:p>
        </w:tc>
        <w:tc>
          <w:tcPr>
            <w:tcW w:type="dxa" w:w="7200"/>
            <w:tcMar>
              <w:top w:type="dxa" w:w="80"/>
              <w:left w:type="dxa" w:w="110"/>
              <w:bottom w:type="dxa" w:w="80"/>
              <w:right w:type="dxa" w:w="110"/>
            </w:tcMar>
          </w:tcPr>
          <w:p>
            <w:r>
              <w:rPr>
                <w:rFonts w:ascii="Calibri" w:cs="Calibri" w:eastAsia="Calibri" w:hAnsi="Calibri"/>
                <w:sz w:val="19"/>
                <w:szCs w:val="19"/>
              </w:rPr>
              <w:t xml:space="preserve">Leads with the coach’s suggestion. The taxonomy disappears behind it, reachable via “something else” and in Library.</w:t>
            </w:r>
          </w:p>
        </w:tc>
      </w:tr>
    </w:tbl>
    <w:p>
      <w:pPr>
        <w:spacing w:after="140"/>
      </w:pPr>
      <w:r>
        <w:rPr>
          <w:rFonts w:ascii="Calibri" w:cs="Calibri" w:eastAsia="Calibri" w:hAnsi="Calibri"/>
          <w:b/>
          <w:bCs/>
          <w:sz w:val="21"/>
          <w:szCs w:val="21"/>
        </w:rPr>
        <w:t xml:space="preserve">Structure is the free product. </w:t>
      </w:r>
      <w:r>
        <w:rPr>
          <w:rFonts w:ascii="Calibri" w:cs="Calibri" w:eastAsia="Calibri" w:hAnsi="Calibri"/>
          <w:sz w:val="21"/>
          <w:szCs w:val="21"/>
        </w:rPr>
        <w:t xml:space="preserve">Nobody is holding the thread for a free user, so the territory must be legible to them. The “coach weaves body and mind” argument only holds where there IS a coach doing the weaving — which is why premium hides the taxonomy and free shows it.</w:t>
      </w:r>
    </w:p>
    <w:p>
      <w:pPr>
        <w:spacing w:after="140"/>
      </w:pPr>
      <w:r>
        <w:rPr>
          <w:rFonts w:ascii="Calibri" w:cs="Calibri" w:eastAsia="Calibri" w:hAnsi="Calibri"/>
          <w:b/>
          <w:bCs/>
          <w:sz w:val="21"/>
          <w:szCs w:val="21"/>
        </w:rPr>
        <w:t xml:space="preserve">SAFETY IS NEVER THE PAID TIER. </w:t>
      </w:r>
      <w:r>
        <w:rPr>
          <w:rFonts w:ascii="Calibri" w:cs="Calibri" w:eastAsia="Calibri" w:hAnsi="Calibri"/>
          <w:sz w:val="21"/>
          <w:szCs w:val="21"/>
        </w:rPr>
        <w:t xml:space="preserve">The pain-8 bypass, body cautions, contraindication filtering and anything touching crisis or safeguarding are free in both tiers, permanently. “You pay for coaching” is defensible. “You pay for us to notice you are in trouble” is not, and would end the company.</w:t>
      </w:r>
    </w:p>
    <w:p>
      <w:pPr>
        <w:spacing w:after="140"/>
      </w:pPr>
      <w:r>
        <w:rPr>
          <w:rFonts w:ascii="Calibri" w:cs="Calibri" w:eastAsia="Calibri" w:hAnsi="Calibri"/>
          <w:b/>
          <w:bCs/>
          <w:sz w:val="21"/>
          <w:szCs w:val="21"/>
        </w:rPr>
        <w:t xml:space="preserve">The offer sits directly beneath the “not sure” fallback, </w:t>
      </w:r>
      <w:r>
        <w:rPr>
          <w:rFonts w:ascii="Calibri" w:cs="Calibri" w:eastAsia="Calibri" w:hAnsi="Calibri"/>
          <w:sz w:val="21"/>
          <w:szCs w:val="21"/>
        </w:rPr>
        <w:t xml:space="preserve">not below Settings. Under Settings is where terms and privacy links live, so the eye files it as boilerplate and skips it. Above them it becomes the next rung of the same thought: I’ll pick for today, or tell me what you are working towards and I’ll hold it. It is the most commercially important element on the free screen and must not read as a disclaimer.</w:t>
      </w:r>
    </w:p>
    <w:p>
      <w:pPr>
        <w:pStyle w:val="Heading2"/>
        <w:spacing w:after="140" w:before="300"/>
      </w:pPr>
      <w:r>
        <w:rPr>
          <w:rFonts w:ascii="Calibri" w:cs="Calibri" w:eastAsia="Calibri" w:hAnsi="Calibri"/>
        </w:rPr>
        <w:t xml:space="preserve">5. The suggestion, and when it appears</w:t>
      </w:r>
    </w:p>
    <w:p>
      <w:pPr>
        <w:spacing w:after="140"/>
      </w:pPr>
      <w:r>
        <w:rPr>
          <w:rFonts w:ascii="Calibri" w:cs="Calibri" w:eastAsia="Calibri" w:hAnsi="Calibri"/>
          <w:b/>
          <w:bCs/>
          <w:sz w:val="21"/>
          <w:szCs w:val="21"/>
        </w:rPr>
        <w:t xml:space="preserve">The suggestion comes BEFORE the check-in. </w:t>
      </w:r>
      <w:r>
        <w:rPr>
          <w:rFonts w:ascii="Calibri" w:cs="Calibri" w:eastAsia="Calibri" w:hAnsi="Calibri"/>
          <w:sz w:val="21"/>
          <w:szCs w:val="21"/>
        </w:rPr>
        <w:t xml:space="preserve">Graeme’s reasoning, 3 Sep: it lets somebody open the app to see what today holds without committing; it lets them test whether it still understands them; and it turns the check-in into something consented to rather than a toll paid before being told anything.</w:t>
      </w:r>
    </w:p>
    <w:p>
      <w:pPr>
        <w:spacing w:after="140"/>
      </w:pPr>
      <w:r>
        <w:rPr>
          <w:rFonts w:ascii="Calibri" w:cs="Calibri" w:eastAsia="Calibri" w:hAnsi="Calibri"/>
          <w:b/>
          <w:bCs/>
          <w:sz w:val="21"/>
          <w:szCs w:val="21"/>
        </w:rPr>
        <w:t xml:space="preserve">It must be honest about what it is working from. </w:t>
      </w:r>
      <w:r>
        <w:rPr>
          <w:rFonts w:ascii="Calibri" w:cs="Calibri" w:eastAsia="Calibri" w:hAnsi="Calibri"/>
          <w:sz w:val="21"/>
          <w:szCs w:val="21"/>
        </w:rPr>
        <w:t xml:space="preserve">A pre-check-in suggestion knows the arc, the conditions and the history, but not that they slept badly or that the back is worse. So it is phrased provisionally, in the coach’s own voice: “I was thinking lower body — it’s where all three strands start. Let’s check in and I’ll firm it up.” Not a hedge, an invitation.</w:t>
      </w:r>
    </w:p>
    <w:p>
      <w:pPr>
        <w:spacing w:after="140"/>
      </w:pPr>
      <w:r>
        <w:rPr>
          <w:rFonts w:ascii="Calibri" w:cs="Calibri" w:eastAsia="Calibri" w:hAnsi="Calibri"/>
          <w:b/>
          <w:bCs/>
          <w:sz w:val="21"/>
          <w:szCs w:val="21"/>
        </w:rPr>
        <w:t xml:space="preserve">Revision must be visible and explained. </w:t>
      </w:r>
      <w:r>
        <w:rPr>
          <w:rFonts w:ascii="Calibri" w:cs="Calibri" w:eastAsia="Calibri" w:hAnsi="Calibri"/>
          <w:sz w:val="21"/>
          <w:szCs w:val="21"/>
        </w:rPr>
        <w:t xml:space="preserve">“You’ve told me the back’s sore, so I’ve changed my mind — hips and ankles rather than leg strength. Same direction, easier day.” A coach who revises openly is more trustworthy than one who was never wrong; a coach who silently swaps its answer is neither.</w:t>
      </w:r>
    </w:p>
    <w:p>
      <w:pPr>
        <w:spacing w:after="140"/>
      </w:pPr>
      <w:r>
        <w:rPr>
          <w:rFonts w:ascii="Calibri" w:cs="Calibri" w:eastAsia="Calibri" w:hAnsi="Calibri"/>
          <w:b/>
          <w:bCs/>
          <w:sz w:val="21"/>
          <w:szCs w:val="21"/>
        </w:rPr>
        <w:t xml:space="preserve">The coach earns specificity over time, and should say so. </w:t>
      </w:r>
      <w:r>
        <w:rPr>
          <w:rFonts w:ascii="Calibri" w:cs="Calibri" w:eastAsia="Calibri" w:hAnsi="Calibri"/>
          <w:sz w:val="21"/>
          <w:szCs w:val="21"/>
        </w:rPr>
        <w:t xml:space="preserve">Early suggestions are thin because the relationship is new — exactly as with a new human coach. The app already records not-a-fan, too-hard, too-easy and skips, and already uses them in selection; that knowledge is simply invisible today. Making it visible is a real day-thirty feature requiring no new plumbing.</w:t>
      </w:r>
    </w:p>
    <w:p>
      <w:pPr>
        <w:pStyle w:val="Heading2"/>
        <w:spacing w:after="140" w:before="300"/>
      </w:pPr>
      <w:r>
        <w:rPr>
          <w:rFonts w:ascii="Calibri" w:cs="Calibri" w:eastAsia="Calibri" w:hAnsi="Calibri"/>
        </w:rPr>
        <w:t xml:space="preserve">6. The arc</w:t>
      </w:r>
    </w:p>
    <w:p>
      <w:pPr>
        <w:spacing w:after="140" w:before="0"/>
      </w:pPr>
      <w:r>
        <w:rPr>
          <w:rFonts w:ascii="Calibri" w:cs="Calibri" w:eastAsia="Calibri" w:hAnsi="Calibri"/>
          <w:sz w:val="21"/>
          <w:szCs w:val="21"/>
        </w:rPr>
        <w:t xml:space="preserve">The model is not SMART. It comes from how a coach actually works: they do not help an athlete phrase a goal, they decompose one. “Improve your sprint start” becomes the start, the strength underneath it, the reactivity that triggers it, and how you are at the line.</w:t>
      </w:r>
    </w:p>
    <w:p>
      <w:pPr>
        <w:spacing w:after="140"/>
      </w:pPr>
      <w:r>
        <w:rPr>
          <w:rFonts w:ascii="Calibri" w:cs="Calibri" w:eastAsia="Calibri" w:hAnsi="Calibri"/>
          <w:b/>
          <w:bCs/>
          <w:sz w:val="21"/>
          <w:szCs w:val="21"/>
        </w:rPr>
        <w:t xml:space="preserve">One aim. Up to three strands. </w:t>
      </w:r>
      <w:r>
        <w:rPr>
          <w:rFonts w:ascii="Calibri" w:cs="Calibri" w:eastAsia="Calibri" w:hAnsi="Calibri"/>
          <w:sz w:val="21"/>
          <w:szCs w:val="21"/>
        </w:rPr>
        <w:t xml:space="preserve">The cap is structural rather than arbitrary — an aim only has a handful of things that genuinely feed it. Further aims may be parked as “next”, visible but not running. Three simultaneous aims is three arcs.</w:t>
      </w:r>
    </w:p>
    <w:p>
      <w:pPr>
        <w:spacing w:after="160" w:before="0"/>
      </w:pPr>
      <w:r>
        <w:rPr>
          <w:rFonts w:ascii="Calibri" w:cs="Calibri" w:eastAsia="Calibri" w:hAnsi="Calibri"/>
          <w:sz w:val="21"/>
          <w:szCs w:val="21"/>
        </w:rPr>
        <w:t xml:space="preserve">Four questions, asked in the coach’s voice. No acronym: acronyms are fitness-culture grammar.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E8EEF2" w:val="clear"/>
            <w:tcMar>
              <w:top w:type="dxa" w:w="80"/>
              <w:left w:type="dxa" w:w="110"/>
              <w:bottom w:type="dxa" w:w="80"/>
              <w:right w:type="dxa" w:w="110"/>
            </w:tcMar>
          </w:tcPr>
          <w:p>
            <w:r>
              <w:rPr>
                <w:rFonts w:ascii="Calibri" w:cs="Calibri" w:eastAsia="Calibri" w:hAnsi="Calibri"/>
                <w:b/>
                <w:bCs/>
                <w:sz w:val="19"/>
                <w:szCs w:val="19"/>
              </w:rPr>
              <w:t xml:space="preserve">Question</w:t>
            </w:r>
          </w:p>
        </w:tc>
        <w:tc>
          <w:tcPr>
            <w:tcW w:type="dxa" w:w="6700"/>
            <w:shd w:fill="E8EEF2" w:val="clear"/>
            <w:tcMar>
              <w:top w:type="dxa" w:w="80"/>
              <w:left w:type="dxa" w:w="110"/>
              <w:bottom w:type="dxa" w:w="80"/>
              <w:right w:type="dxa" w:w="110"/>
            </w:tcMar>
          </w:tcPr>
          <w:p>
            <w:r>
              <w:rPr>
                <w:rFonts w:ascii="Calibri" w:cs="Calibri" w:eastAsia="Calibri" w:hAnsi="Calibri"/>
                <w:b/>
                <w:bCs/>
                <w:sz w:val="19"/>
                <w:szCs w:val="19"/>
              </w:rPr>
              <w:t xml:space="preserve">What it does, and what it replaces</w:t>
            </w:r>
          </w:p>
        </w:tc>
      </w:tr>
      <w:tr>
        <w:tc>
          <w:tcPr>
            <w:tcW w:type="dxa" w:w="2500"/>
            <w:tcMar>
              <w:top w:type="dxa" w:w="80"/>
              <w:left w:type="dxa" w:w="110"/>
              <w:bottom w:type="dxa" w:w="80"/>
              <w:right w:type="dxa" w:w="110"/>
            </w:tcMar>
          </w:tcPr>
          <w:p>
            <w:r>
              <w:rPr>
                <w:rFonts w:ascii="Calibri" w:cs="Calibri" w:eastAsia="Calibri" w:hAnsi="Calibri"/>
                <w:sz w:val="19"/>
                <w:szCs w:val="19"/>
              </w:rPr>
              <w:t xml:space="preserve">What do you want to be able to do?</w:t>
            </w:r>
          </w:p>
        </w:tc>
        <w:tc>
          <w:tcPr>
            <w:tcW w:type="dxa" w:w="6700"/>
            <w:tcMar>
              <w:top w:type="dxa" w:w="80"/>
              <w:left w:type="dxa" w:w="110"/>
              <w:bottom w:type="dxa" w:w="80"/>
              <w:right w:type="dxa" w:w="110"/>
            </w:tcMar>
          </w:tcPr>
          <w:p>
            <w:r>
              <w:rPr>
                <w:rFonts w:ascii="Calibri" w:cs="Calibri" w:eastAsia="Calibri" w:hAnsi="Calibri"/>
                <w:sz w:val="19"/>
                <w:szCs w:val="19"/>
              </w:rPr>
              <w:t xml:space="preserve">Specific, phrased as a capability rather than a metric. “Get off the floor without using my hands.” Replaces SMART’s specific. “Be fitter” is rejected because the coach cannot act on it — which is precisely why the current goals do nothing.</w:t>
            </w:r>
          </w:p>
        </w:tc>
      </w:tr>
      <w:tr>
        <w:tc>
          <w:tcPr>
            <w:tcW w:type="dxa" w:w="2500"/>
            <w:tcMar>
              <w:top w:type="dxa" w:w="80"/>
              <w:left w:type="dxa" w:w="110"/>
              <w:bottom w:type="dxa" w:w="80"/>
              <w:right w:type="dxa" w:w="110"/>
            </w:tcMar>
          </w:tcPr>
          <w:p>
            <w:r>
              <w:rPr>
                <w:rFonts w:ascii="Calibri" w:cs="Calibri" w:eastAsia="Calibri" w:hAnsi="Calibri"/>
                <w:sz w:val="19"/>
                <w:szCs w:val="19"/>
              </w:rPr>
              <w:t xml:space="preserve">How would you know it was happening?</w:t>
            </w:r>
          </w:p>
        </w:tc>
        <w:tc>
          <w:tcPr>
            <w:tcW w:type="dxa" w:w="6700"/>
            <w:tcMar>
              <w:top w:type="dxa" w:w="80"/>
              <w:left w:type="dxa" w:w="110"/>
              <w:bottom w:type="dxa" w:w="80"/>
              <w:right w:type="dxa" w:w="110"/>
            </w:tcMar>
          </w:tcPr>
          <w:p>
            <w:r>
              <w:rPr>
                <w:rFonts w:ascii="Calibri" w:cs="Calibri" w:eastAsia="Calibri" w:hAnsi="Calibri"/>
                <w:sz w:val="19"/>
                <w:szCs w:val="19"/>
              </w:rPr>
              <w:t xml:space="preserve">Replaces measurable, and the replacement matters: measurement invites failure, noticing does not. Same design as the flexibility marker — not “further” but “the same thing felt easier”. Self-assessed, qualitative, impossible to be behind on.</w:t>
            </w:r>
          </w:p>
        </w:tc>
      </w:tr>
      <w:tr>
        <w:tc>
          <w:tcPr>
            <w:tcW w:type="dxa" w:w="2500"/>
            <w:tcMar>
              <w:top w:type="dxa" w:w="80"/>
              <w:left w:type="dxa" w:w="110"/>
              <w:bottom w:type="dxa" w:w="80"/>
              <w:right w:type="dxa" w:w="110"/>
            </w:tcMar>
          </w:tcPr>
          <w:p>
            <w:r>
              <w:rPr>
                <w:rFonts w:ascii="Calibri" w:cs="Calibri" w:eastAsia="Calibri" w:hAnsi="Calibri"/>
                <w:sz w:val="19"/>
                <w:szCs w:val="19"/>
              </w:rPr>
              <w:t xml:space="preserve">What feeds it?</w:t>
            </w:r>
          </w:p>
        </w:tc>
        <w:tc>
          <w:tcPr>
            <w:tcW w:type="dxa" w:w="6700"/>
            <w:tcMar>
              <w:top w:type="dxa" w:w="80"/>
              <w:left w:type="dxa" w:w="110"/>
              <w:bottom w:type="dxa" w:w="80"/>
              <w:right w:type="dxa" w:w="110"/>
            </w:tcMar>
          </w:tcPr>
          <w:p>
            <w:r>
              <w:rPr>
                <w:rFonts w:ascii="Calibri" w:cs="Calibri" w:eastAsia="Calibri" w:hAnsi="Calibri"/>
                <w:sz w:val="19"/>
                <w:szCs w:val="19"/>
              </w:rPr>
              <w:t xml:space="preserve">Up to three strands, chosen from a vocabulary the aim carries. This is the coach’s actual work and the part that makes an arc mechanically useful: strands map to zones and session types, so the engine can act on them.</w:t>
            </w:r>
          </w:p>
        </w:tc>
      </w:tr>
      <w:tr>
        <w:tc>
          <w:tcPr>
            <w:tcW w:type="dxa" w:w="2500"/>
            <w:tcMar>
              <w:top w:type="dxa" w:w="80"/>
              <w:left w:type="dxa" w:w="110"/>
              <w:bottom w:type="dxa" w:w="80"/>
              <w:right w:type="dxa" w:w="110"/>
            </w:tcMar>
          </w:tcPr>
          <w:p>
            <w:r>
              <w:rPr>
                <w:rFonts w:ascii="Calibri" w:cs="Calibri" w:eastAsia="Calibri" w:hAnsi="Calibri"/>
                <w:sz w:val="19"/>
                <w:szCs w:val="19"/>
              </w:rPr>
              <w:t xml:space="preserve">Is this yours?</w:t>
            </w:r>
          </w:p>
        </w:tc>
        <w:tc>
          <w:tcPr>
            <w:tcW w:type="dxa" w:w="6700"/>
            <w:tcMar>
              <w:top w:type="dxa" w:w="80"/>
              <w:left w:type="dxa" w:w="110"/>
              <w:bottom w:type="dxa" w:w="80"/>
              <w:right w:type="dxa" w:w="110"/>
            </w:tcMar>
          </w:tcPr>
          <w:p>
            <w:r>
              <w:rPr>
                <w:rFonts w:ascii="Calibri" w:cs="Calibri" w:eastAsia="Calibri" w:hAnsi="Calibri"/>
                <w:sz w:val="19"/>
                <w:szCs w:val="19"/>
              </w:rPr>
              <w:t xml:space="preserve">Replaces relevant. For this audience it is not a nicety — a goal inherited from a doctor, a partner, or an older version of yourself is the thing that makes people quit. It is also the consent step when an arc is assigned (§9).</w:t>
            </w:r>
          </w:p>
        </w:tc>
      </w:tr>
    </w:tbl>
    <w:p>
      <w:pPr>
        <w:spacing w:after="140"/>
      </w:pPr>
      <w:r>
        <w:rPr>
          <w:rFonts w:ascii="Calibri" w:cs="Calibri" w:eastAsia="Calibri" w:hAnsi="Calibri"/>
          <w:b/>
          <w:bCs/>
          <w:sz w:val="21"/>
          <w:szCs w:val="21"/>
        </w:rPr>
        <w:t xml:space="preserve">There is no “by when”, ever. </w:t>
      </w:r>
      <w:r>
        <w:rPr>
          <w:rFonts w:ascii="Calibri" w:cs="Calibri" w:eastAsia="Calibri" w:hAnsi="Calibri"/>
          <w:sz w:val="21"/>
          <w:szCs w:val="21"/>
        </w:rPr>
        <w:t xml:space="preserve">That is the letter that must not survive translation. A date is a thing you fail on a Tuesday. The arc holds direction, not deadlines — no schedule, no session target, no end date. Each of those creates a state a person can be behind on, and being behind is what this product exists not to do.</w:t>
      </w:r>
    </w:p>
    <w:p>
      <w:pPr>
        <w:pStyle w:val="Heading2"/>
        <w:spacing w:after="140" w:before="300"/>
      </w:pPr>
      <w:r>
        <w:rPr>
          <w:rFonts w:ascii="Calibri" w:cs="Calibri" w:eastAsia="Calibri" w:hAnsi="Calibri"/>
        </w:rPr>
        <w:t xml:space="preserve">7. How an aim drives the strands</w:t>
      </w:r>
    </w:p>
    <w:p>
      <w:pPr>
        <w:spacing w:after="140"/>
      </w:pPr>
      <w:r>
        <w:rPr>
          <w:rFonts w:ascii="Calibri" w:cs="Calibri" w:eastAsia="Calibri" w:hAnsi="Calibri"/>
          <w:b/>
          <w:bCs/>
          <w:sz w:val="21"/>
          <w:szCs w:val="21"/>
        </w:rPr>
        <w:t xml:space="preserve">Free text cannot work and must not be attempted. </w:t>
      </w:r>
      <w:r>
        <w:rPr>
          <w:rFonts w:ascii="Calibri" w:cs="Calibri" w:eastAsia="Calibri" w:hAnsi="Calibri"/>
          <w:sz w:val="21"/>
          <w:szCs w:val="21"/>
        </w:rPr>
        <w:t xml:space="preserve">If somebody types “get off the floor unaided”, nothing in the app can parse that into hips, ankles and leg strength. The aim is therefore chosen from an authored vocabulary, and each aim carries its candidate strands, which the coach offers and the person picks up to three from.</w:t>
      </w:r>
    </w:p>
    <w:p>
      <w:pPr>
        <w:spacing w:after="140" w:before="0"/>
      </w:pPr>
      <w:r>
        <w:rPr>
          <w:rFonts w:ascii="Calibri" w:cs="Calibri" w:eastAsia="Calibri" w:hAnsi="Calibri"/>
          <w:sz w:val="21"/>
          <w:szCs w:val="21"/>
        </w:rPr>
        <w:t xml:space="preserve">This is also how the athletics coach works. He does not invent strands on the spot; he knows what feeds a sprint start and proposes from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tblHeader/>
        </w:trPr>
        <w:tc>
          <w:tcPr>
            <w:tcW w:type="dxa" w:w="2700"/>
            <w:shd w:fill="E8EEF2" w:val="clear"/>
            <w:tcMar>
              <w:top w:type="dxa" w:w="80"/>
              <w:left w:type="dxa" w:w="110"/>
              <w:bottom w:type="dxa" w:w="80"/>
              <w:right w:type="dxa" w:w="110"/>
            </w:tcMar>
          </w:tcPr>
          <w:p>
            <w:r>
              <w:rPr>
                <w:rFonts w:ascii="Calibri" w:cs="Calibri" w:eastAsia="Calibri" w:hAnsi="Calibri"/>
                <w:b/>
                <w:bCs/>
                <w:sz w:val="19"/>
                <w:szCs w:val="19"/>
              </w:rPr>
              <w:t xml:space="preserve">Aim (worked example)</w:t>
            </w:r>
          </w:p>
        </w:tc>
        <w:tc>
          <w:tcPr>
            <w:tcW w:type="dxa" w:w="6500"/>
            <w:shd w:fill="E8EEF2" w:val="clear"/>
            <w:tcMar>
              <w:top w:type="dxa" w:w="80"/>
              <w:left w:type="dxa" w:w="110"/>
              <w:bottom w:type="dxa" w:w="80"/>
              <w:right w:type="dxa" w:w="110"/>
            </w:tcMar>
          </w:tcPr>
          <w:p>
            <w:r>
              <w:rPr>
                <w:rFonts w:ascii="Calibri" w:cs="Calibri" w:eastAsia="Calibri" w:hAnsi="Calibri"/>
                <w:b/>
                <w:bCs/>
                <w:sz w:val="19"/>
                <w:szCs w:val="19"/>
              </w:rPr>
              <w:t xml:space="preserve">Candidate strands offered</w:t>
            </w:r>
          </w:p>
        </w:tc>
      </w:tr>
      <w:tr>
        <w:tc>
          <w:tcPr>
            <w:tcW w:type="dxa" w:w="2700"/>
            <w:tcMar>
              <w:top w:type="dxa" w:w="80"/>
              <w:left w:type="dxa" w:w="110"/>
              <w:bottom w:type="dxa" w:w="80"/>
              <w:right w:type="dxa" w:w="110"/>
            </w:tcMar>
          </w:tcPr>
          <w:p>
            <w:r>
              <w:rPr>
                <w:rFonts w:ascii="Calibri" w:cs="Calibri" w:eastAsia="Calibri" w:hAnsi="Calibri"/>
                <w:sz w:val="19"/>
                <w:szCs w:val="19"/>
              </w:rPr>
              <w:t xml:space="preserve">Get off the floor without using my hands</w:t>
            </w:r>
          </w:p>
        </w:tc>
        <w:tc>
          <w:tcPr>
            <w:tcW w:type="dxa" w:w="6500"/>
            <w:tcMar>
              <w:top w:type="dxa" w:w="80"/>
              <w:left w:type="dxa" w:w="110"/>
              <w:bottom w:type="dxa" w:w="80"/>
              <w:right w:type="dxa" w:w="110"/>
            </w:tcMar>
          </w:tcPr>
          <w:p>
            <w:r>
              <w:rPr>
                <w:rFonts w:ascii="Calibri" w:cs="Calibri" w:eastAsia="Calibri" w:hAnsi="Calibri"/>
                <w:sz w:val="19"/>
                <w:szCs w:val="19"/>
              </w:rPr>
              <w:t xml:space="preserve">Hip range · Ankle range · Leg strength · Confidence about getting down</w:t>
            </w:r>
          </w:p>
        </w:tc>
      </w:tr>
      <w:tr>
        <w:tc>
          <w:tcPr>
            <w:tcW w:type="dxa" w:w="2700"/>
            <w:tcMar>
              <w:top w:type="dxa" w:w="80"/>
              <w:left w:type="dxa" w:w="110"/>
              <w:bottom w:type="dxa" w:w="80"/>
              <w:right w:type="dxa" w:w="110"/>
            </w:tcMar>
          </w:tcPr>
          <w:p>
            <w:r>
              <w:rPr>
                <w:rFonts w:ascii="Calibri" w:cs="Calibri" w:eastAsia="Calibri" w:hAnsi="Calibri"/>
                <w:sz w:val="19"/>
                <w:szCs w:val="19"/>
              </w:rPr>
              <w:t xml:space="preserve">Run 5K without walking</w:t>
            </w:r>
          </w:p>
        </w:tc>
        <w:tc>
          <w:tcPr>
            <w:tcW w:type="dxa" w:w="6500"/>
            <w:tcMar>
              <w:top w:type="dxa" w:w="80"/>
              <w:left w:type="dxa" w:w="110"/>
              <w:bottom w:type="dxa" w:w="80"/>
              <w:right w:type="dxa" w:w="110"/>
            </w:tcMar>
          </w:tcPr>
          <w:p>
            <w:r>
              <w:rPr>
                <w:rFonts w:ascii="Calibri" w:cs="Calibri" w:eastAsia="Calibri" w:hAnsi="Calibri"/>
                <w:sz w:val="19"/>
                <w:szCs w:val="19"/>
              </w:rPr>
              <w:t xml:space="preserve">Calf and ankle range · Hamstring range · Aerobic base · Recovering between runs</w:t>
            </w:r>
          </w:p>
        </w:tc>
      </w:tr>
      <w:tr>
        <w:tc>
          <w:tcPr>
            <w:tcW w:type="dxa" w:w="2700"/>
            <w:tcMar>
              <w:top w:type="dxa" w:w="80"/>
              <w:left w:type="dxa" w:w="110"/>
              <w:bottom w:type="dxa" w:w="80"/>
              <w:right w:type="dxa" w:w="110"/>
            </w:tcMar>
          </w:tcPr>
          <w:p>
            <w:r>
              <w:rPr>
                <w:rFonts w:ascii="Calibri" w:cs="Calibri" w:eastAsia="Calibri" w:hAnsi="Calibri"/>
                <w:sz w:val="19"/>
                <w:szCs w:val="19"/>
              </w:rPr>
              <w:t xml:space="preserve">Carry the shopping without my back going</w:t>
            </w:r>
          </w:p>
        </w:tc>
        <w:tc>
          <w:tcPr>
            <w:tcW w:type="dxa" w:w="6500"/>
            <w:tcMar>
              <w:top w:type="dxa" w:w="80"/>
              <w:left w:type="dxa" w:w="110"/>
              <w:bottom w:type="dxa" w:w="80"/>
              <w:right w:type="dxa" w:w="110"/>
            </w:tcMar>
          </w:tcPr>
          <w:p>
            <w:r>
              <w:rPr>
                <w:rFonts w:ascii="Calibri" w:cs="Calibri" w:eastAsia="Calibri" w:hAnsi="Calibri"/>
                <w:sz w:val="19"/>
                <w:szCs w:val="19"/>
              </w:rPr>
              <w:t xml:space="preserve">Hip hinge · Trunk strength · Grip and carry · Pacing the load</w:t>
            </w:r>
          </w:p>
        </w:tc>
      </w:tr>
      <w:tr>
        <w:tc>
          <w:tcPr>
            <w:tcW w:type="dxa" w:w="2700"/>
            <w:tcMar>
              <w:top w:type="dxa" w:w="80"/>
              <w:left w:type="dxa" w:w="110"/>
              <w:bottom w:type="dxa" w:w="80"/>
              <w:right w:type="dxa" w:w="110"/>
            </w:tcMar>
          </w:tcPr>
          <w:p>
            <w:r>
              <w:rPr>
                <w:rFonts w:ascii="Calibri" w:cs="Calibri" w:eastAsia="Calibri" w:hAnsi="Calibri"/>
                <w:sz w:val="19"/>
                <w:szCs w:val="19"/>
              </w:rPr>
              <w:t xml:space="preserve">Sleep better</w:t>
            </w:r>
          </w:p>
        </w:tc>
        <w:tc>
          <w:tcPr>
            <w:tcW w:type="dxa" w:w="6500"/>
            <w:tcMar>
              <w:top w:type="dxa" w:w="80"/>
              <w:left w:type="dxa" w:w="110"/>
              <w:bottom w:type="dxa" w:w="80"/>
              <w:right w:type="dxa" w:w="110"/>
            </w:tcMar>
          </w:tcPr>
          <w:p>
            <w:r>
              <w:rPr>
                <w:rFonts w:ascii="Calibri" w:cs="Calibri" w:eastAsia="Calibri" w:hAnsi="Calibri"/>
                <w:sz w:val="19"/>
                <w:szCs w:val="19"/>
              </w:rPr>
              <w:t xml:space="preserve">Winding down · Neck and shoulder release · Breathing · Moving earlier in the day</w:t>
            </w:r>
          </w:p>
        </w:tc>
      </w:tr>
    </w:tbl>
    <w:p>
      <w:pPr>
        <w:spacing w:after="140"/>
      </w:pPr>
      <w:r>
        <w:rPr>
          <w:rFonts w:ascii="Calibri" w:cs="Calibri" w:eastAsia="Calibri" w:hAnsi="Calibri"/>
          <w:b/>
          <w:bCs/>
          <w:sz w:val="21"/>
          <w:szCs w:val="21"/>
        </w:rPr>
        <w:t xml:space="preserve">A STRAND MAY BE A MIND STRAND OUTRIGHT. </w:t>
      </w:r>
      <w:r>
        <w:rPr>
          <w:rFonts w:ascii="Calibri" w:cs="Calibri" w:eastAsia="Calibri" w:hAnsi="Calibri"/>
          <w:sz w:val="21"/>
          <w:szCs w:val="21"/>
        </w:rPr>
        <w:t xml:space="preserve">Not a hidden layer beneath a physical strand, and not only a warm-down garnish. For “get off the floor without using my hands”, fear of falling is frequently the actual limiting factor, and a physiotherapist would say so. Offering “confidence about getting down” as a thing to work ON is structural wholeness rather than decorative, and no competitor offers it.</w:t>
      </w:r>
    </w:p>
    <w:p>
      <w:pPr>
        <w:spacing w:after="140"/>
      </w:pPr>
      <w:r>
        <w:rPr>
          <w:rFonts w:ascii="Calibri" w:cs="Calibri" w:eastAsia="Calibri" w:hAnsi="Calibri"/>
          <w:b/>
          <w:bCs/>
          <w:sz w:val="21"/>
          <w:szCs w:val="21"/>
        </w:rPr>
        <w:t xml:space="preserve">A caution against the pattern this document itself fell into. </w:t>
      </w:r>
      <w:r>
        <w:rPr>
          <w:rFonts w:ascii="Calibri" w:cs="Calibri" w:eastAsia="Calibri" w:hAnsi="Calibri"/>
          <w:sz w:val="21"/>
          <w:szCs w:val="21"/>
        </w:rPr>
        <w:t xml:space="preserve">The worked table above lists a mind strand for that aim, and the illustration that followed it used three physical strands and quietly dropped the fourth. The model permitted the right answer; the example taught the wrong one. Every future aim added to the vocabulary should be checked for the same drift.</w:t>
      </w:r>
    </w:p>
    <w:p>
      <w:pPr>
        <w:spacing w:after="140" w:before="0"/>
      </w:pPr>
      <w:r>
        <w:rPr>
          <w:rFonts w:ascii="Calibri" w:cs="Calibri" w:eastAsia="Calibri" w:hAnsi="Calibri"/>
          <w:sz w:val="21"/>
          <w:szCs w:val="21"/>
        </w:rPr>
        <w:t xml:space="preserve">Delivery is a separate question from existence. A mind strand may well be delivered in the wind-down of a physical session — that is a good pattern. It is not where mind LIVES.</w:t>
      </w:r>
    </w:p>
    <w:p>
      <w:pPr>
        <w:spacing w:after="140"/>
      </w:pPr>
      <w:r>
        <w:rPr>
          <w:rFonts w:ascii="Calibri" w:cs="Calibri" w:eastAsia="Calibri" w:hAnsi="Calibri"/>
          <w:b/>
          <w:bCs/>
          <w:sz w:val="21"/>
          <w:szCs w:val="21"/>
        </w:rPr>
        <w:t xml:space="preserve">The authoring is the work. </w:t>
      </w:r>
      <w:r>
        <w:rPr>
          <w:rFonts w:ascii="Calibri" w:cs="Calibri" w:eastAsia="Calibri" w:hAnsi="Calibri"/>
          <w:sz w:val="21"/>
          <w:szCs w:val="21"/>
        </w:rPr>
        <w:t xml:space="preserve">The UI is small. The aim-to-strand vocabulary is a content project, and it is the same table the physiotherapist brief already asks about, one level deeper. It ships provisional and labelled as ours, exactly as stretch-goal-zones.js does.</w:t>
      </w:r>
    </w:p>
    <w:p>
      <w:pPr>
        <w:pStyle w:val="Heading2"/>
        <w:spacing w:after="140" w:before="300"/>
      </w:pPr>
      <w:r>
        <w:rPr>
          <w:rFonts w:ascii="Calibri" w:cs="Calibri" w:eastAsia="Calibri" w:hAnsi="Calibri"/>
        </w:rPr>
        <w:t xml:space="preserve">6. Goals leave onboarding</w:t>
      </w:r>
    </w:p>
    <w:p>
      <w:pPr>
        <w:spacing w:after="140" w:before="0"/>
      </w:pPr>
      <w:r>
        <w:rPr>
          <w:rFonts w:ascii="Calibri" w:cs="Calibri" w:eastAsia="Calibri" w:hAnsi="Calibri"/>
          <w:sz w:val="21"/>
          <w:szCs w:val="21"/>
        </w:rPr>
        <w:t xml:space="preserve">Goals move to arc setup because that is the only place they could ever have worked. A goal has no purchase on a single session — “I want to lose weight” cannot honestly change what you do in the next thirty minutes. It only means anything across weeks.</w:t>
      </w:r>
    </w:p>
    <w:p>
      <w:pPr>
        <w:spacing w:after="140" w:before="0"/>
      </w:pPr>
      <w:r>
        <w:rPr>
          <w:rFonts w:ascii="Calibri" w:cs="Calibri" w:eastAsia="Calibri" w:hAnsi="Calibri"/>
          <w:sz w:val="21"/>
          <w:szCs w:val="21"/>
        </w:rPr>
        <w:t xml:space="preserve">Free becomes cleaner for it: you turn up, you say what you want today, you get it. No collected aspirations sitting in a store doing nothing. Onboarding also gets shorter, which is a direct win for the executive-function problem.</w:t>
      </w:r>
    </w:p>
    <w:p>
      <w:pPr>
        <w:spacing w:after="140"/>
      </w:pPr>
      <w:r>
        <w:rPr>
          <w:rFonts w:ascii="Calibri" w:cs="Calibri" w:eastAsia="Calibri" w:hAnsi="Calibri"/>
          <w:b/>
          <w:bCs/>
          <w:sz w:val="21"/>
          <w:szCs w:val="21"/>
        </w:rPr>
        <w:t xml:space="preserve">This is a migration, not a deletion. </w:t>
      </w:r>
      <w:r>
        <w:rPr>
          <w:rFonts w:ascii="Calibri" w:cs="Calibri" w:eastAsia="Calibri" w:hAnsi="Calibri"/>
          <w:sz w:val="21"/>
          <w:szCs w:val="21"/>
        </w:rPr>
        <w:t xml:space="preserve">store.goals is read in twelve places and several are coach copy, not session logic. An empty goals array for every user silently rewrites first-fortnight copy across the app. Every site must be walked:</w:t>
      </w:r>
    </w:p>
    <w:p>
      <w:pPr>
        <w:pStyle w:val="ListParagraph"/>
        <w:numPr>
          <w:ilvl w:val="0"/>
          <w:numId w:val="2"/>
        </w:numPr>
        <w:spacing w:after="90"/>
      </w:pPr>
      <w:r>
        <w:rPr>
          <w:rFonts w:ascii="Calibri" w:cs="Calibri" w:eastAsia="Calibri" w:hAnsi="Calibri"/>
          <w:sz w:val="21"/>
          <w:szCs w:val="21"/>
        </w:rPr>
        <w:t xml:space="preserve">today.js — orientation line branches on goals; an empty array currently routes everyone to the “Unsure” line, and the wellbeing-goal branch dies entirely</w:t>
      </w:r>
    </w:p>
    <w:p>
      <w:pPr>
        <w:pStyle w:val="ListParagraph"/>
        <w:numPr>
          <w:ilvl w:val="0"/>
          <w:numId w:val="2"/>
        </w:numPr>
        <w:spacing w:after="90"/>
      </w:pPr>
      <w:r>
        <w:rPr>
          <w:rFonts w:ascii="Calibri" w:cs="Calibri" w:eastAsia="Calibri" w:hAnsi="Calibri"/>
          <w:sz w:val="21"/>
          <w:szCs w:val="21"/>
        </w:rPr>
        <w:t xml:space="preserve">checkin-openings.js — opening lines keyed on goals</w:t>
      </w:r>
    </w:p>
    <w:p>
      <w:pPr>
        <w:pStyle w:val="ListParagraph"/>
        <w:numPr>
          <w:ilvl w:val="0"/>
          <w:numId w:val="2"/>
        </w:numPr>
        <w:spacing w:after="90"/>
      </w:pPr>
      <w:r>
        <w:rPr>
          <w:rFonts w:ascii="Calibri" w:cs="Calibri" w:eastAsia="Calibri" w:hAnsi="Calibri"/>
          <w:sz w:val="21"/>
          <w:szCs w:val="21"/>
        </w:rPr>
        <w:t xml:space="preserve">coach-proposal.js — getPrimaryEngineGoal()</w:t>
      </w:r>
    </w:p>
    <w:p>
      <w:pPr>
        <w:pStyle w:val="ListParagraph"/>
        <w:numPr>
          <w:ilvl w:val="0"/>
          <w:numId w:val="2"/>
        </w:numPr>
        <w:spacing w:after="90"/>
      </w:pPr>
      <w:r>
        <w:rPr>
          <w:rFonts w:ascii="Calibri" w:cs="Calibri" w:eastAsia="Calibri" w:hAnsi="Calibri"/>
          <w:sz w:val="21"/>
          <w:szCs w:val="21"/>
        </w:rPr>
        <w:t xml:space="preserve">session-rationale.js and session-builder.js — rationale copy</w:t>
      </w:r>
    </w:p>
    <w:p>
      <w:pPr>
        <w:pStyle w:val="ListParagraph"/>
        <w:numPr>
          <w:ilvl w:val="0"/>
          <w:numId w:val="2"/>
        </w:numPr>
        <w:spacing w:after="90"/>
      </w:pPr>
      <w:r>
        <w:rPr>
          <w:rFonts w:ascii="Calibri" w:cs="Calibri" w:eastAsia="Calibri" w:hAnsi="Calibri"/>
          <w:sz w:val="21"/>
          <w:szCs w:val="21"/>
        </w:rPr>
        <w:t xml:space="preserve">progress.js (two sites), my-programme.js, settings.js — display and editing</w:t>
      </w:r>
    </w:p>
    <w:p>
      <w:pPr>
        <w:pStyle w:val="ListParagraph"/>
        <w:numPr>
          <w:ilvl w:val="0"/>
          <w:numId w:val="2"/>
        </w:numPr>
        <w:spacing w:after="90"/>
      </w:pPr>
      <w:r>
        <w:rPr>
          <w:rFonts w:ascii="Calibri" w:cs="Calibri" w:eastAsia="Calibri" w:hAnsi="Calibri"/>
          <w:sz w:val="21"/>
          <w:szCs w:val="21"/>
        </w:rPr>
        <w:t xml:space="preserve">onboarding/thread.js — returns goals to the thread engine</w:t>
      </w:r>
    </w:p>
    <w:p>
      <w:pPr>
        <w:pStyle w:val="ListParagraph"/>
        <w:numPr>
          <w:ilvl w:val="0"/>
          <w:numId w:val="2"/>
        </w:numPr>
        <w:spacing w:after="90"/>
      </w:pPr>
      <w:r>
        <w:rPr>
          <w:rFonts w:ascii="Calibri" w:cs="Calibri" w:eastAsia="Calibri" w:hAnsi="Calibri"/>
          <w:sz w:val="21"/>
          <w:szCs w:val="21"/>
        </w:rPr>
        <w:t xml:space="preserve">onboarding/goals.js — the step being removed</w:t>
      </w:r>
    </w:p>
    <w:p>
      <w:pPr>
        <w:pStyle w:val="ListParagraph"/>
        <w:numPr>
          <w:ilvl w:val="0"/>
          <w:numId w:val="2"/>
        </w:numPr>
        <w:spacing w:after="90"/>
      </w:pPr>
      <w:r>
        <w:rPr>
          <w:rFonts w:ascii="Calibri" w:cs="Calibri" w:eastAsia="Calibri" w:hAnsi="Calibri"/>
          <w:sz w:val="21"/>
          <w:szCs w:val="21"/>
        </w:rPr>
        <w:t xml:space="preserve">session-builder-ui.js and stretch-arc.js — the zone prefill, which must read the arc’s aim instead</w:t>
      </w:r>
    </w:p>
    <w:p>
      <w:pPr>
        <w:spacing w:after="140" w:before="0"/>
      </w:pPr>
      <w:r>
        <w:rPr>
          <w:rFonts w:ascii="Calibri" w:cs="Calibri" w:eastAsia="Calibri" w:hAnsi="Calibri"/>
          <w:sz w:val="21"/>
          <w:szCs w:val="21"/>
        </w:rPr>
        <w:t xml:space="preserve">No users exist yet, so no data migration is required. That will not be true again.</w:t>
      </w:r>
    </w:p>
    <w:p>
      <w:pPr>
        <w:pStyle w:val="Heading2"/>
        <w:spacing w:after="140" w:before="300"/>
      </w:pPr>
      <w:r>
        <w:rPr>
          <w:rFonts w:ascii="Calibri" w:cs="Calibri" w:eastAsia="Calibri" w:hAnsi="Calibri"/>
        </w:rPr>
        <w:t xml:space="preserve">8. Tier, and the gold edge</w:t>
      </w:r>
    </w:p>
    <w:p>
      <w:pPr>
        <w:spacing w:after="140"/>
      </w:pPr>
      <w:r>
        <w:rPr>
          <w:rFonts w:ascii="Calibri" w:cs="Calibri" w:eastAsia="Calibri" w:hAnsi="Calibri"/>
          <w:b/>
          <w:bCs/>
          <w:sz w:val="21"/>
          <w:szCs w:val="21"/>
        </w:rPr>
        <w:t xml:space="preserve">Gold marks premium capability. It does not gild the premium experience. </w:t>
      </w:r>
      <w:r>
        <w:rPr>
          <w:rFonts w:ascii="Calibri" w:cs="Calibri" w:eastAsia="Calibri" w:hAnsi="Calibri"/>
          <w:sz w:val="21"/>
          <w:szCs w:val="21"/>
        </w:rPr>
        <w:t xml:space="preserve">If premium looks richer everywhere, free stops feeling complete and starts feeling like a demo — and the core audience is people already made to feel less-than by fitness culture. Free must look finished.</w:t>
      </w:r>
    </w:p>
    <w:p>
      <w:pPr>
        <w:pStyle w:val="ListParagraph"/>
        <w:numPr>
          <w:ilvl w:val="0"/>
          <w:numId w:val="2"/>
        </w:numPr>
        <w:spacing w:after="90"/>
      </w:pPr>
      <w:r>
        <w:rPr>
          <w:rFonts w:ascii="Calibri" w:cs="Calibri" w:eastAsia="Calibri" w:hAnsi="Calibri"/>
          <w:sz w:val="21"/>
          <w:szCs w:val="21"/>
        </w:rPr>
        <w:t xml:space="preserve">Gold appears on the arc panel in the lobby, and as a single line inside Today connecting the session to the arc (“feeds hip range”).</w:t>
      </w:r>
    </w:p>
    <w:p>
      <w:pPr>
        <w:pStyle w:val="ListParagraph"/>
        <w:numPr>
          <w:ilvl w:val="0"/>
          <w:numId w:val="2"/>
        </w:numPr>
        <w:spacing w:after="90"/>
      </w:pPr>
      <w:r>
        <w:rPr>
          <w:rFonts w:ascii="Calibri" w:cs="Calibri" w:eastAsia="Calibri" w:hAnsi="Calibri"/>
          <w:sz w:val="21"/>
          <w:szCs w:val="21"/>
        </w:rPr>
        <w:t xml:space="preserve">Never on safety, never on the coach, never on the daily session.</w:t>
      </w:r>
    </w:p>
    <w:p>
      <w:pPr>
        <w:pStyle w:val="ListParagraph"/>
        <w:numPr>
          <w:ilvl w:val="0"/>
          <w:numId w:val="2"/>
        </w:numPr>
        <w:spacing w:after="90"/>
      </w:pPr>
      <w:r>
        <w:rPr>
          <w:rFonts w:ascii="Calibri" w:cs="Calibri" w:eastAsia="Calibri" w:hAnsi="Calibri"/>
          <w:sz w:val="21"/>
          <w:szCs w:val="21"/>
        </w:rPr>
        <w:t xml:space="preserve">Grey-and-teal to signify “free” is rejected: greyed reads as disabled, and this audience has spent enough time being told they do not qualify.</w:t>
      </w:r>
    </w:p>
    <w:p>
      <w:pPr>
        <w:pStyle w:val="ListParagraph"/>
        <w:numPr>
          <w:ilvl w:val="0"/>
          <w:numId w:val="2"/>
        </w:numPr>
        <w:spacing w:after="90"/>
      </w:pPr>
      <w:r>
        <w:rPr>
          <w:rFonts w:ascii="Calibri" w:cs="Calibri" w:eastAsia="Calibri" w:hAnsi="Calibri"/>
          <w:sz w:val="21"/>
          <w:szCs w:val="21"/>
        </w:rPr>
        <w:t xml:space="preserve">Tier becomes legible without a badge — you can see which tier you are on because the arc panel is either there or it is not.</w:t>
      </w:r>
    </w:p>
    <w:p>
      <w:pPr>
        <w:spacing w:after="140" w:before="0"/>
      </w:pPr>
      <w:r>
        <w:rPr>
          <w:rFonts w:ascii="Calibri" w:cs="Calibri" w:eastAsia="Calibri" w:hAnsi="Calibri"/>
          <w:sz w:val="21"/>
          <w:szCs w:val="21"/>
        </w:rPr>
        <w:t xml:space="preserve">Conversion should be an event. Today, upgrading changes nothing visible. It should be the arc appearing, and the coach immediately saying something it could not say before.</w:t>
      </w:r>
    </w:p>
    <w:p>
      <w:pPr>
        <w:pStyle w:val="Heading2"/>
        <w:spacing w:after="140" w:before="300"/>
      </w:pPr>
      <w:r>
        <w:rPr>
          <w:rFonts w:ascii="Calibri" w:cs="Calibri" w:eastAsia="Calibri" w:hAnsi="Calibri"/>
        </w:rPr>
        <w:t xml:space="preserve">9. What free is offered, and how</w:t>
      </w:r>
    </w:p>
    <w:p>
      <w:pPr>
        <w:spacing w:after="140" w:before="0"/>
      </w:pPr>
      <w:r>
        <w:rPr>
          <w:rFonts w:ascii="Calibri" w:cs="Calibri" w:eastAsia="Calibri" w:hAnsi="Calibri"/>
          <w:sz w:val="21"/>
          <w:szCs w:val="21"/>
        </w:rPr>
        <w:t xml:space="preserve">Free is advertised to, but in the grammar of offer rather than loss. The difference is one sentence.</w:t>
      </w:r>
    </w:p>
    <w:p>
      <w:pPr>
        <w:spacing w:after="80"/>
      </w:pPr>
      <w:r>
        <w:rPr>
          <w:rFonts w:ascii="Calibri" w:cs="Calibri" w:eastAsia="Calibri" w:hAnsi="Calibri"/>
          <w:b/>
          <w:bCs/>
          <w:sz w:val="21"/>
          <w:szCs w:val="21"/>
        </w:rPr>
        <w:t xml:space="preserve">Not: </w:t>
      </w:r>
      <w:r>
        <w:rPr>
          <w:rFonts w:ascii="Calibri" w:cs="Calibri" w:eastAsia="Calibri" w:hAnsi="Calibri"/>
          <w:sz w:val="21"/>
          <w:szCs w:val="21"/>
        </w:rPr>
        <w:t xml:space="preserve">“You’re missing out on the arc.”</w:t>
      </w:r>
    </w:p>
    <w:p>
      <w:pPr>
        <w:spacing w:after="140"/>
      </w:pPr>
      <w:r>
        <w:rPr>
          <w:rFonts w:ascii="Calibri" w:cs="Calibri" w:eastAsia="Calibri" w:hAnsi="Calibri"/>
          <w:b/>
          <w:bCs/>
          <w:sz w:val="21"/>
          <w:szCs w:val="21"/>
        </w:rPr>
        <w:t xml:space="preserve">Instead: </w:t>
      </w:r>
      <w:r>
        <w:rPr>
          <w:rFonts w:ascii="Calibri" w:cs="Calibri" w:eastAsia="Calibri" w:hAnsi="Calibri"/>
          <w:sz w:val="21"/>
          <w:szCs w:val="21"/>
        </w:rPr>
        <w:t xml:space="preserve">“Tell me what you want to be able to do, and I’ll hold it and work towards it with you.”</w:t>
      </w:r>
    </w:p>
    <w:p>
      <w:pPr>
        <w:spacing w:after="140" w:before="0"/>
      </w:pPr>
      <w:r>
        <w:rPr>
          <w:rFonts w:ascii="Calibri" w:cs="Calibri" w:eastAsia="Calibri" w:hAnsi="Calibri"/>
          <w:sz w:val="21"/>
          <w:szCs w:val="21"/>
        </w:rPr>
        <w:t xml:space="preserve">It sits at the foot of the lobby, below the reference rows, once. It is never a modal, never mid-session, and never appears while somebody is in pain.</w:t>
      </w:r>
    </w:p>
    <w:p>
      <w:pPr>
        <w:pStyle w:val="Heading2"/>
        <w:spacing w:after="140" w:before="300"/>
      </w:pPr>
      <w:r>
        <w:rPr>
          <w:rFonts w:ascii="Calibri" w:cs="Calibri" w:eastAsia="Calibri" w:hAnsi="Calibri"/>
        </w:rPr>
        <w:t xml:space="preserve">10. Professionals: recommendation, not a dashboard</w:t>
      </w:r>
    </w:p>
    <w:p>
      <w:pPr>
        <w:spacing w:after="140"/>
      </w:pPr>
      <w:r>
        <w:rPr>
          <w:rFonts w:ascii="Calibri" w:cs="Calibri" w:eastAsia="Calibri" w:hAnsi="Calibri"/>
          <w:b/>
          <w:bCs/>
          <w:sz w:val="21"/>
          <w:szCs w:val="21"/>
        </w:rPr>
        <w:t xml:space="preserve">DECIDED 3 Sep: the product stays B2C. </w:t>
      </w:r>
      <w:r>
        <w:rPr>
          <w:rFonts w:ascii="Calibri" w:cs="Calibri" w:eastAsia="Calibri" w:hAnsi="Calibri"/>
          <w:sz w:val="21"/>
          <w:szCs w:val="21"/>
        </w:rPr>
        <w:t xml:space="preserve">Professionals are people who recommend it, not customers who administer it. This is a better business AND a safer one, for a structural reason: it removes the payer/user conflict entirely. The person pays, the professional benefits, and no incentive pulls against the person’s interests.</w:t>
      </w:r>
    </w:p>
    <w:p>
      <w:pPr>
        <w:spacing w:after="140"/>
      </w:pPr>
      <w:r>
        <w:rPr>
          <w:rFonts w:ascii="Calibri" w:cs="Calibri" w:eastAsia="Calibri" w:hAnsi="Calibri"/>
          <w:b/>
          <w:bCs/>
          <w:sz w:val="21"/>
          <w:szCs w:val="21"/>
        </w:rPr>
        <w:t xml:space="preserve">A practitioner dashboard was considered and rejected. </w:t>
      </w:r>
      <w:r>
        <w:rPr>
          <w:rFonts w:ascii="Calibri" w:cs="Calibri" w:eastAsia="Calibri" w:hAnsi="Calibri"/>
          <w:sz w:val="21"/>
          <w:szCs w:val="21"/>
        </w:rPr>
        <w:t xml:space="preserve">It would make Build New Habits a data processor, with accounts, authentication, a caseload view and a compliance layer attached. More seriously, everything a payer asks for is adherence data — did they do it, how often, are they behind. That is a streak shown to somebody else, wearing a clinical badge.</w:t>
      </w:r>
    </w:p>
    <w:p>
      <w:pPr>
        <w:spacing w:after="140"/>
      </w:pPr>
      <w:r>
        <w:rPr>
          <w:rFonts w:ascii="Calibri" w:cs="Calibri" w:eastAsia="Calibri" w:hAnsi="Calibri"/>
          <w:b/>
          <w:bCs/>
          <w:sz w:val="21"/>
          <w:szCs w:val="21"/>
        </w:rPr>
        <w:t xml:space="preserve">RULED OUT EXPLICITLY: employer-paid and insurer-paid versions. </w:t>
      </w:r>
      <w:r>
        <w:rPr>
          <w:rFonts w:ascii="Calibri" w:cs="Calibri" w:eastAsia="Calibri" w:hAnsi="Calibri"/>
          <w:sz w:val="21"/>
          <w:szCs w:val="21"/>
        </w:rPr>
        <w:t xml:space="preserve">Under those, the payer’s interest becomes cost or attendance rather than the person’s wellbeing, and every protection in this document would be under sustained commercial pressure. Recorded as a decision rather than left as an option to drift toward.</w:t>
      </w:r>
    </w:p>
    <w:p>
      <w:pPr>
        <w:spacing w:after="140"/>
      </w:pPr>
      <w:r>
        <w:rPr>
          <w:rFonts w:ascii="Calibri" w:cs="Calibri" w:eastAsia="Calibri" w:hAnsi="Calibri"/>
          <w:b/>
          <w:bCs/>
          <w:sz w:val="21"/>
          <w:szCs w:val="21"/>
        </w:rPr>
        <w:t xml:space="preserve">The referral asset is the export, not a login. </w:t>
      </w:r>
      <w:r>
        <w:rPr>
          <w:rFonts w:ascii="Calibri" w:cs="Calibri" w:eastAsia="Calibri" w:hAnsi="Calibri"/>
          <w:sz w:val="21"/>
          <w:szCs w:val="21"/>
        </w:rPr>
        <w:t xml:space="preserve">The person walks into their appointment with a summary they chose to bring. The professional needs no account, no procurement, no integration and no data-sharing agreement — which is what actually kills clinical software adoption. It is a document a patient hands over.</w:t>
      </w:r>
    </w:p>
    <w:p>
      <w:pPr>
        <w:spacing w:after="140" w:before="0"/>
      </w:pPr>
      <w:r>
        <w:rPr>
          <w:rFonts w:ascii="Calibri" w:cs="Calibri" w:eastAsia="Calibri" w:hAnsi="Calibri"/>
          <w:sz w:val="21"/>
          <w:szCs w:val="21"/>
        </w:rPr>
        <w:t xml:space="preserve">What that gives the professional is the thing they cannot get anywhere else: what happened between appointments, in the person’s own words, on the day — rather than a six-week reconstruction shaped by wanting to seem like a good patient.</w:t>
      </w:r>
    </w:p>
    <w:p>
      <w:pPr>
        <w:spacing w:after="140"/>
      </w:pPr>
      <w:r>
        <w:rPr>
          <w:rFonts w:ascii="Calibri" w:cs="Calibri" w:eastAsia="Calibri" w:hAnsi="Calibri"/>
          <w:b/>
          <w:bCs/>
          <w:sz w:val="21"/>
          <w:szCs w:val="21"/>
        </w:rPr>
        <w:t xml:space="preserve">What the person gets is being believed. </w:t>
      </w:r>
      <w:r>
        <w:rPr>
          <w:rFonts w:ascii="Calibri" w:cs="Calibri" w:eastAsia="Calibri" w:hAnsi="Calibri"/>
          <w:sz w:val="21"/>
          <w:szCs w:val="21"/>
        </w:rPr>
        <w:t xml:space="preserve">“I told it my back was bad on the 3rd and again on the 11th” is evidence. For people routinely dismissed in clinical rooms — women, chronic pain patients, neurodivergent adults, precisely this audience — walking in with their own record shifts the balance of that conversation. This may be the strongest single claim in the product.</w:t>
      </w:r>
    </w:p>
    <w:p>
      <w:pPr>
        <w:spacing w:after="140"/>
      </w:pPr>
      <w:r>
        <w:rPr>
          <w:rFonts w:ascii="Calibri" w:cs="Calibri" w:eastAsia="Calibri" w:hAnsi="Calibri"/>
          <w:b/>
          <w:bCs/>
          <w:sz w:val="21"/>
          <w:szCs w:val="21"/>
        </w:rPr>
        <w:t xml:space="preserve">Do not compete on exercise assignment. </w:t>
      </w:r>
      <w:r>
        <w:rPr>
          <w:rFonts w:ascii="Calibri" w:cs="Calibri" w:eastAsia="Calibri" w:hAnsi="Calibri"/>
          <w:sz w:val="21"/>
          <w:szCs w:val="21"/>
        </w:rPr>
        <w:t xml:space="preserve">Physitrack and Rehab Guru own it, integrate with practice management systems, and are already paid for. The defensible claim is narrower: what happened between appointments, and what we kept them away from.</w:t>
      </w:r>
    </w:p>
    <w:p>
      <w:pPr>
        <w:spacing w:after="140"/>
      </w:pPr>
      <w:r>
        <w:rPr>
          <w:rFonts w:ascii="Calibri" w:cs="Calibri" w:eastAsia="Calibri" w:hAnsi="Calibri"/>
          <w:b/>
          <w:bCs/>
          <w:sz w:val="21"/>
          <w:szCs w:val="21"/>
        </w:rPr>
        <w:t xml:space="preserve">Treat referral as compounding credibility, not a channel. </w:t>
      </w:r>
      <w:r>
        <w:rPr>
          <w:rFonts w:ascii="Calibri" w:cs="Calibri" w:eastAsia="Calibri" w:hAnsi="Calibri"/>
          <w:sz w:val="21"/>
          <w:szCs w:val="21"/>
        </w:rPr>
        <w:t xml:space="preserve">Recommendations are unattributable, so no strategy should depend on measuring them. And the free tier must not be designed around what makes a good export, or the product gets optimised for the appointment rather than the person.</w:t>
      </w:r>
    </w:p>
    <w:p>
      <w:pPr>
        <w:pStyle w:val="Heading2"/>
        <w:spacing w:after="140" w:before="300"/>
      </w:pPr>
      <w:r>
        <w:rPr>
          <w:rFonts w:ascii="Calibri" w:cs="Calibri" w:eastAsia="Calibri" w:hAnsi="Calibri"/>
        </w:rPr>
        <w:t xml:space="preserve">10b. The export: free and Plan</w:t>
      </w:r>
    </w:p>
    <w:p>
      <w:pPr>
        <w:spacing w:after="140"/>
      </w:pPr>
      <w:r>
        <w:rPr>
          <w:rFonts w:ascii="Calibri" w:cs="Calibri" w:eastAsia="Calibri" w:hAnsi="Calibri"/>
          <w:b/>
          <w:bCs/>
          <w:sz w:val="21"/>
          <w:szCs w:val="21"/>
        </w:rPr>
        <w:t xml:space="preserve">Free is raw. Plan is shaped. </w:t>
      </w:r>
      <w:r>
        <w:rPr>
          <w:rFonts w:ascii="Calibri" w:cs="Calibri" w:eastAsia="Calibri" w:hAnsi="Calibri"/>
          <w:sz w:val="21"/>
          <w:szCs w:val="21"/>
        </w:rPr>
        <w:t xml:space="preserve">This boundary justifies itself without any paywall reasoning: the free export is raw BECAUSE free has no arc to give it shape. Nothing is withheld.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E8EEF2" w:val="clear"/>
            <w:tcMar>
              <w:top w:type="dxa" w:w="80"/>
              <w:left w:type="dxa" w:w="110"/>
              <w:bottom w:type="dxa" w:w="80"/>
              <w:right w:type="dxa" w:w="110"/>
            </w:tcMar>
          </w:tcPr>
          <w:p>
            <w:r>
              <w:rPr>
                <w:rFonts w:ascii="Calibri" w:cs="Calibri" w:eastAsia="Calibri" w:hAnsi="Calibri"/>
                <w:b/>
                <w:bCs/>
                <w:sz w:val="19"/>
                <w:szCs w:val="19"/>
              </w:rPr>
              <w:t xml:space="preserve">Tier</w:t>
            </w:r>
          </w:p>
        </w:tc>
        <w:tc>
          <w:tcPr>
            <w:tcW w:type="dxa" w:w="7000"/>
            <w:shd w:fill="E8EEF2" w:val="clear"/>
            <w:tcMar>
              <w:top w:type="dxa" w:w="80"/>
              <w:left w:type="dxa" w:w="110"/>
              <w:bottom w:type="dxa" w:w="80"/>
              <w:right w:type="dxa" w:w="110"/>
            </w:tcMar>
          </w:tcPr>
          <w:p>
            <w:r>
              <w:rPr>
                <w:rFonts w:ascii="Calibri" w:cs="Calibri" w:eastAsia="Calibri" w:hAnsi="Calibri"/>
                <w:b/>
                <w:bCs/>
                <w:sz w:val="19"/>
                <w:szCs w:val="19"/>
              </w:rPr>
              <w:t xml:space="preserve">What the export contains</w:t>
            </w:r>
          </w:p>
        </w:tc>
      </w:tr>
      <w:tr>
        <w:tc>
          <w:tcPr>
            <w:tcW w:type="dxa" w:w="2200"/>
            <w:tcMar>
              <w:top w:type="dxa" w:w="80"/>
              <w:left w:type="dxa" w:w="110"/>
              <w:bottom w:type="dxa" w:w="80"/>
              <w:right w:type="dxa" w:w="110"/>
            </w:tcMar>
          </w:tcPr>
          <w:p>
            <w:r>
              <w:rPr>
                <w:rFonts w:ascii="Calibri" w:cs="Calibri" w:eastAsia="Calibri" w:hAnsi="Calibri"/>
                <w:sz w:val="19"/>
                <w:szCs w:val="19"/>
              </w:rPr>
              <w:t xml:space="preserve">Free</w:t>
            </w:r>
          </w:p>
        </w:tc>
        <w:tc>
          <w:tcPr>
            <w:tcW w:type="dxa" w:w="7000"/>
            <w:tcMar>
              <w:top w:type="dxa" w:w="80"/>
              <w:left w:type="dxa" w:w="110"/>
              <w:bottom w:type="dxa" w:w="80"/>
              <w:right w:type="dxa" w:w="110"/>
            </w:tcMar>
          </w:tcPr>
          <w:p>
            <w:r>
              <w:rPr>
                <w:rFonts w:ascii="Calibri" w:cs="Calibri" w:eastAsia="Calibri" w:hAnsi="Calibri"/>
                <w:sz w:val="19"/>
                <w:szCs w:val="19"/>
              </w:rPr>
              <w:t xml:space="preserve">Check-in data and post-activity reflections. Closer to raw record: what was reported, and when.</w:t>
            </w:r>
          </w:p>
        </w:tc>
      </w:tr>
      <w:tr>
        <w:tc>
          <w:tcPr>
            <w:tcW w:type="dxa" w:w="2200"/>
            <w:tcMar>
              <w:top w:type="dxa" w:w="80"/>
              <w:left w:type="dxa" w:w="110"/>
              <w:bottom w:type="dxa" w:w="80"/>
              <w:right w:type="dxa" w:w="110"/>
            </w:tcMar>
          </w:tcPr>
          <w:p>
            <w:r>
              <w:rPr>
                <w:rFonts w:ascii="Calibri" w:cs="Calibri" w:eastAsia="Calibri" w:hAnsi="Calibri"/>
                <w:sz w:val="19"/>
                <w:szCs w:val="19"/>
              </w:rPr>
              <w:t xml:space="preserve">Plan</w:t>
            </w:r>
          </w:p>
        </w:tc>
        <w:tc>
          <w:tcPr>
            <w:tcW w:type="dxa" w:w="7000"/>
            <w:tcMar>
              <w:top w:type="dxa" w:w="80"/>
              <w:left w:type="dxa" w:w="110"/>
              <w:bottom w:type="dxa" w:w="80"/>
              <w:right w:type="dxa" w:w="110"/>
            </w:tcMar>
          </w:tcPr>
          <w:p>
            <w:r>
              <w:rPr>
                <w:rFonts w:ascii="Calibri" w:cs="Calibri" w:eastAsia="Calibri" w:hAnsi="Calibri"/>
                <w:sz w:val="19"/>
                <w:szCs w:val="19"/>
              </w:rPr>
              <w:t xml:space="preserve">The same, plus the arc — aim, strands, what has been covered and what has not. Contextualised and reflective.</w:t>
            </w:r>
          </w:p>
        </w:tc>
      </w:tr>
    </w:tbl>
    <w:p>
      <w:pPr>
        <w:pStyle w:val="ListParagraph"/>
        <w:numPr>
          <w:ilvl w:val="0"/>
          <w:numId w:val="2"/>
        </w:numPr>
        <w:spacing w:after="90"/>
      </w:pPr>
      <w:r>
        <w:rPr>
          <w:rFonts w:ascii="Calibri" w:cs="Calibri" w:eastAsia="Calibri" w:hAnsi="Calibri"/>
          <w:sz w:val="21"/>
          <w:szCs w:val="21"/>
        </w:rPr>
        <w:t xml:space="preserve">The export is the PERSON’S. They generate it, they share it, they can stop sharing at any time, and stopping is never reported as an event.</w:t>
      </w:r>
    </w:p>
    <w:p>
      <w:pPr>
        <w:pStyle w:val="ListParagraph"/>
        <w:numPr>
          <w:ilvl w:val="0"/>
          <w:numId w:val="2"/>
        </w:numPr>
        <w:spacing w:after="90"/>
      </w:pPr>
      <w:r>
        <w:rPr>
          <w:rFonts w:ascii="Calibri" w:cs="Calibri" w:eastAsia="Calibri" w:hAnsi="Calibri"/>
          <w:sz w:val="21"/>
          <w:szCs w:val="21"/>
        </w:rPr>
        <w:t xml:space="preserve">The private journal is excluded absolutely. No professional exception, ever. This is the pressure that would test that founding constraint, and it does not bend.</w:t>
      </w:r>
    </w:p>
    <w:p>
      <w:pPr>
        <w:pStyle w:val="ListParagraph"/>
        <w:numPr>
          <w:ilvl w:val="0"/>
          <w:numId w:val="2"/>
        </w:numPr>
        <w:spacing w:after="90"/>
      </w:pPr>
      <w:r>
        <w:rPr>
          <w:rFonts w:ascii="Calibri" w:cs="Calibri" w:eastAsia="Calibri" w:hAnsi="Calibri"/>
          <w:sz w:val="21"/>
          <w:szCs w:val="21"/>
        </w:rPr>
        <w:t xml:space="preserve">It DESCRIBES, never interprets. “Reported lower back pain 7/10 on 3 and 11 September” is a record. “Deteriorating” is a clinical judgement. The same P4 rule the coach follows on screen, applied to a document that leaves the app — and stricter, because a professional may act on it.</w:t>
      </w:r>
    </w:p>
    <w:p>
      <w:pPr>
        <w:spacing w:after="140"/>
      </w:pPr>
      <w:r>
        <w:rPr>
          <w:rFonts w:ascii="Calibri" w:cs="Calibri" w:eastAsia="Calibri" w:hAnsi="Calibri"/>
          <w:b/>
          <w:bCs/>
          <w:sz w:val="21"/>
          <w:szCs w:val="21"/>
        </w:rPr>
        <w:t xml:space="preserve">Two things to settle before building. </w:t>
      </w:r>
      <w:r>
        <w:rPr>
          <w:rFonts w:ascii="Calibri" w:cs="Calibri" w:eastAsia="Calibri" w:hAnsi="Calibri"/>
          <w:sz w:val="21"/>
          <w:szCs w:val="21"/>
        </w:rPr>
        <w:t xml:space="preserve">The narrative version is where interpretation can creep in, so the wording rules need writing before the template does. And an export designed to be handed to a clinician should go to Foot Anstey with the rest of the pack — cheap to ask now, expensive to discover after launch. It also cannot be built until the arc exists to give it a spine.</w:t>
      </w:r>
    </w:p>
    <w:p>
      <w:pPr>
        <w:spacing w:after="140"/>
      </w:pPr>
      <w:r>
        <w:rPr>
          <w:rFonts w:ascii="Calibri" w:cs="Calibri" w:eastAsia="Calibri" w:hAnsi="Calibri"/>
          <w:b/>
          <w:bCs/>
          <w:sz w:val="21"/>
          <w:szCs w:val="21"/>
        </w:rPr>
        <w:t xml:space="preserve">This needs its own planning session, </w:t>
      </w:r>
      <w:r>
        <w:rPr>
          <w:rFonts w:ascii="Calibri" w:cs="Calibri" w:eastAsia="Calibri" w:hAnsi="Calibri"/>
          <w:sz w:val="21"/>
          <w:szCs w:val="21"/>
        </w:rPr>
        <w:t xml:space="preserve">held AFTER the arc rather than alongside it, so the export follows the arc rather than shaping it.</w:t>
      </w:r>
    </w:p>
    <w:p>
      <w:pPr>
        <w:pStyle w:val="Heading2"/>
        <w:spacing w:after="140" w:before="300"/>
      </w:pPr>
      <w:r>
        <w:rPr>
          <w:rFonts w:ascii="Calibri" w:cs="Calibri" w:eastAsia="Calibri" w:hAnsi="Calibri"/>
        </w:rPr>
        <w:t xml:space="preserve">11. Content: the mind side needs building</w:t>
      </w:r>
    </w:p>
    <w:p>
      <w:pPr>
        <w:spacing w:after="140"/>
      </w:pPr>
      <w:r>
        <w:rPr>
          <w:rFonts w:ascii="Calibri" w:cs="Calibri" w:eastAsia="Calibri" w:hAnsi="Calibri"/>
          <w:b/>
          <w:bCs/>
          <w:sz w:val="21"/>
          <w:szCs w:val="21"/>
        </w:rPr>
        <w:t xml:space="preserve">“Settle your mind” is visibly the thinner half, </w:t>
      </w:r>
      <w:r>
        <w:rPr>
          <w:rFonts w:ascii="Calibri" w:cs="Calibri" w:eastAsia="Calibri" w:hAnsi="Calibri"/>
          <w:sz w:val="21"/>
          <w:szCs w:val="21"/>
        </w:rPr>
        <w:t xml:space="preserve">and on the free screen that is legible to the user. It either earns more content or the grouping is uneven in a way people notice.</w:t>
      </w:r>
    </w:p>
    <w:p>
      <w:pPr>
        <w:spacing w:after="140"/>
      </w:pPr>
      <w:r>
        <w:rPr>
          <w:rFonts w:ascii="Calibri" w:cs="Calibri" w:eastAsia="Calibri" w:hAnsi="Calibri"/>
          <w:b/>
          <w:bCs/>
          <w:sz w:val="21"/>
          <w:szCs w:val="21"/>
        </w:rPr>
        <w:t xml:space="preserve">Programmes, not loose practices. </w:t>
      </w:r>
      <w:r>
        <w:rPr>
          <w:rFonts w:ascii="Calibri" w:cs="Calibri" w:eastAsia="Calibri" w:hAnsi="Calibri"/>
          <w:sz w:val="21"/>
          <w:szCs w:val="21"/>
        </w:rPr>
        <w:t xml:space="preserve">Pathways somebody follows, of which In Step — Graeme’s existing programme on developing the mind to be in step with oneself and the people around one — is the first and most important. These belong on the FREE platform. They will be used more by Plan members because the coach recommends them, which is the right asymmetry: access is free, direction is paid.</w:t>
      </w:r>
    </w:p>
    <w:p>
      <w:pPr>
        <w:pStyle w:val="ListParagraph"/>
        <w:numPr>
          <w:ilvl w:val="0"/>
          <w:numId w:val="2"/>
        </w:numPr>
        <w:spacing w:after="90"/>
      </w:pPr>
      <w:r>
        <w:rPr>
          <w:rFonts w:ascii="Calibri" w:cs="Calibri" w:eastAsia="Calibri" w:hAnsi="Calibri"/>
          <w:sz w:val="21"/>
          <w:szCs w:val="21"/>
        </w:rPr>
        <w:t xml:space="preserve">Authored to attach to STRANDS, or it becomes another disconnected library — the fault this whole document exists to correct.</w:t>
      </w:r>
    </w:p>
    <w:p>
      <w:pPr>
        <w:pStyle w:val="ListParagraph"/>
        <w:numPr>
          <w:ilvl w:val="0"/>
          <w:numId w:val="2"/>
        </w:numPr>
        <w:spacing w:after="90"/>
      </w:pPr>
      <w:r>
        <w:rPr>
          <w:rFonts w:ascii="Calibri" w:cs="Calibri" w:eastAsia="Calibri" w:hAnsi="Calibri"/>
          <w:sz w:val="21"/>
          <w:szCs w:val="21"/>
        </w:rPr>
        <w:t xml:space="preserve">In Step is Graeme’s and needs his input first. Building from an invented version would produce something adjacent to what he means.</w:t>
      </w:r>
    </w:p>
    <w:p>
      <w:pPr>
        <w:pStyle w:val="ListParagraph"/>
        <w:numPr>
          <w:ilvl w:val="0"/>
          <w:numId w:val="2"/>
        </w:numPr>
        <w:spacing w:after="90"/>
      </w:pPr>
      <w:r>
        <w:rPr>
          <w:rFonts w:ascii="Calibri" w:cs="Calibri" w:eastAsia="Calibri" w:hAnsi="Calibri"/>
          <w:sz w:val="21"/>
          <w:szCs w:val="21"/>
        </w:rPr>
        <w:t xml:space="preserve">Mental-health content carries a different risk profile from stretches. It stays firmly in psychoeducation and practice, well clear of anything reading as therapy or treatment.</w:t>
      </w:r>
    </w:p>
    <w:p>
      <w:pPr>
        <w:pStyle w:val="ListParagraph"/>
        <w:numPr>
          <w:ilvl w:val="0"/>
          <w:numId w:val="2"/>
        </w:numPr>
        <w:spacing w:after="90"/>
      </w:pPr>
      <w:r>
        <w:rPr>
          <w:rFonts w:ascii="Calibri" w:cs="Calibri" w:eastAsia="Calibri" w:hAnsi="Calibri"/>
          <w:sz w:val="21"/>
          <w:szCs w:val="21"/>
        </w:rPr>
        <w:t xml:space="preserve">ONE legal question, not a document review: does any of this classify as making health claims? A yes/no that shapes wording once, cheap to ask alongside work already commissioned, expensive to discover later. Wording and positioning otherwise do not require sign-off.</w:t>
      </w:r>
    </w:p>
    <w:p>
      <w:pPr>
        <w:pStyle w:val="Heading2"/>
        <w:spacing w:after="140" w:before="300"/>
      </w:pPr>
      <w:r>
        <w:rPr>
          <w:rFonts w:ascii="Calibri" w:cs="Calibri" w:eastAsia="Calibri" w:hAnsi="Calibri"/>
        </w:rPr>
        <w:t xml:space="preserve">12. Rules that hold the structure</w:t>
      </w:r>
    </w:p>
    <w:p>
      <w:pPr>
        <w:spacing w:after="140"/>
      </w:pPr>
      <w:r>
        <w:rPr>
          <w:rFonts w:ascii="Calibri" w:cs="Calibri" w:eastAsia="Calibri" w:hAnsi="Calibri"/>
          <w:b/>
          <w:bCs/>
          <w:sz w:val="21"/>
          <w:szCs w:val="21"/>
        </w:rPr>
        <w:t xml:space="preserve">THE LOBBY RULE. </w:t>
      </w:r>
      <w:r>
        <w:rPr>
          <w:rFonts w:ascii="Calibri" w:cs="Calibri" w:eastAsia="Calibri" w:hAnsi="Calibri"/>
          <w:sz w:val="21"/>
          <w:szCs w:val="21"/>
        </w:rPr>
        <w:t xml:space="preserve">Anything that starts a movement session lives beyond the check-in. Everything else lives in the lobby.</w:t>
      </w:r>
    </w:p>
    <w:p>
      <w:pPr>
        <w:spacing w:after="140"/>
      </w:pPr>
      <w:r>
        <w:rPr>
          <w:rFonts w:ascii="Calibri" w:cs="Calibri" w:eastAsia="Calibri" w:hAnsi="Calibri"/>
          <w:b/>
          <w:bCs/>
          <w:sz w:val="21"/>
          <w:szCs w:val="21"/>
        </w:rPr>
        <w:t xml:space="preserve">THE DEPTH RULE. </w:t>
      </w:r>
      <w:r>
        <w:rPr>
          <w:rFonts w:ascii="Calibri" w:cs="Calibri" w:eastAsia="Calibri" w:hAnsi="Calibri"/>
          <w:sz w:val="21"/>
          <w:szCs w:val="21"/>
        </w:rPr>
        <w:t xml:space="preserve">From Home, at most one screen before somebody is moving, not counting the check-in. If a choice needs a screen of its own, it belongs in Library. This kills the doors-into-doors problem as a class rather than rearranging it.</w:t>
      </w:r>
    </w:p>
    <w:p>
      <w:pPr>
        <w:spacing w:after="140"/>
      </w:pPr>
      <w:r>
        <w:rPr>
          <w:rFonts w:ascii="Calibri" w:cs="Calibri" w:eastAsia="Calibri" w:hAnsi="Calibri"/>
          <w:b/>
          <w:bCs/>
          <w:sz w:val="21"/>
          <w:szCs w:val="21"/>
        </w:rPr>
        <w:t xml:space="preserve">BROWSING IS NOT CHOOSING UNDER PRESSURE. </w:t>
      </w:r>
      <w:r>
        <w:rPr>
          <w:rFonts w:ascii="Calibri" w:cs="Calibri" w:eastAsia="Calibri" w:hAnsi="Calibri"/>
          <w:sz w:val="21"/>
          <w:szCs w:val="21"/>
        </w:rPr>
        <w:t xml:space="preserve">The full taxonomy lives in Library, where looking around is the point. At 6am “Cardio, Core &amp; Strength or Mobility &amp; Conditioning?” is an interrogation; on a Sunday afternoon the same content is a pleasure. Two escapes, not one: “something else” for the decided, Library for the curious.</w:t>
      </w:r>
    </w:p>
    <w:p>
      <w:pPr>
        <w:spacing w:after="140"/>
      </w:pPr>
      <w:r>
        <w:rPr>
          <w:rFonts w:ascii="Calibri" w:cs="Calibri" w:eastAsia="Calibri" w:hAnsi="Calibri"/>
          <w:b/>
          <w:bCs/>
          <w:sz w:val="21"/>
          <w:szCs w:val="21"/>
        </w:rPr>
        <w:t xml:space="preserve">FAULTLESS, DEFINED SO IT CAN BE HELD. </w:t>
      </w:r>
      <w:r>
        <w:rPr>
          <w:rFonts w:ascii="Calibri" w:cs="Calibri" w:eastAsia="Calibri" w:hAnsi="Calibri"/>
          <w:sz w:val="21"/>
          <w:szCs w:val="21"/>
        </w:rPr>
        <w:t xml:space="preserve">Selection is deliberately randomised — the same request five times yields five different sessions — so there is no single right answer to be 99% of. Faultless therefore means: every input the coach implies it used, it demonstrably used, and nothing it claims is unearned. That is testable, and it is exactly what the traces of 1–3 September caught three times (the goal that never reached the session, the zone that meant “touches” rather than “is for”, the map outvoted by the category loop). Each was the coach appearing to consider something it was not using, which is why it read as glib.</w:t>
      </w:r>
    </w:p>
    <w:p>
      <w:pPr>
        <w:pStyle w:val="Heading2"/>
        <w:spacing w:after="140" w:before="300"/>
      </w:pPr>
      <w:r>
        <w:rPr>
          <w:rFonts w:ascii="Calibri" w:cs="Calibri" w:eastAsia="Calibri" w:hAnsi="Calibri"/>
        </w:rPr>
        <w:t xml:space="preserve">13. Build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900"/>
      </w:tblGrid>
      <w:tr>
        <w:trPr>
          <w:tblHeader/>
        </w:trPr>
        <w:tc>
          <w:tcPr>
            <w:tcW w:type="dxa" w:w="900"/>
            <w:shd w:fill="E8EEF2" w:val="clear"/>
            <w:tcMar>
              <w:top w:type="dxa" w:w="80"/>
              <w:left w:type="dxa" w:w="110"/>
              <w:bottom w:type="dxa" w:w="80"/>
              <w:right w:type="dxa" w:w="110"/>
            </w:tcMar>
          </w:tcPr>
          <w:p>
            <w:r>
              <w:rPr>
                <w:rFonts w:ascii="Calibri" w:cs="Calibri" w:eastAsia="Calibri" w:hAnsi="Calibri"/>
                <w:b/>
                <w:bCs/>
                <w:sz w:val="19"/>
                <w:szCs w:val="19"/>
              </w:rPr>
              <w:t xml:space="preserve">#</w:t>
            </w:r>
          </w:p>
        </w:tc>
        <w:tc>
          <w:tcPr>
            <w:tcW w:type="dxa" w:w="3400"/>
            <w:shd w:fill="E8EEF2" w:val="clear"/>
            <w:tcMar>
              <w:top w:type="dxa" w:w="80"/>
              <w:left w:type="dxa" w:w="110"/>
              <w:bottom w:type="dxa" w:w="80"/>
              <w:right w:type="dxa" w:w="110"/>
            </w:tcMar>
          </w:tcPr>
          <w:p>
            <w:r>
              <w:rPr>
                <w:rFonts w:ascii="Calibri" w:cs="Calibri" w:eastAsia="Calibri" w:hAnsi="Calibri"/>
                <w:b/>
                <w:bCs/>
                <w:sz w:val="19"/>
                <w:szCs w:val="19"/>
              </w:rPr>
              <w:t xml:space="preserve">Item</w:t>
            </w:r>
          </w:p>
        </w:tc>
        <w:tc>
          <w:tcPr>
            <w:tcW w:type="dxa" w:w="4900"/>
            <w:shd w:fill="E8EEF2" w:val="clear"/>
            <w:tcMar>
              <w:top w:type="dxa" w:w="80"/>
              <w:left w:type="dxa" w:w="110"/>
              <w:bottom w:type="dxa" w:w="80"/>
              <w:right w:type="dxa" w:w="110"/>
            </w:tcMar>
          </w:tcPr>
          <w:p>
            <w:r>
              <w:rPr>
                <w:rFonts w:ascii="Calibri" w:cs="Calibri" w:eastAsia="Calibri" w:hAnsi="Calibri"/>
                <w:b/>
                <w:bCs/>
                <w:sz w:val="19"/>
                <w:szCs w:val="19"/>
              </w:rPr>
              <w:t xml:space="preserve">Why here</w:t>
            </w:r>
          </w:p>
        </w:tc>
      </w:tr>
      <w:tr>
        <w:tc>
          <w:tcPr>
            <w:tcW w:type="dxa" w:w="900"/>
            <w:tcMar>
              <w:top w:type="dxa" w:w="80"/>
              <w:left w:type="dxa" w:w="110"/>
              <w:bottom w:type="dxa" w:w="80"/>
              <w:right w:type="dxa" w:w="110"/>
            </w:tcMar>
          </w:tcPr>
          <w:p>
            <w:r>
              <w:rPr>
                <w:rFonts w:ascii="Calibri" w:cs="Calibri" w:eastAsia="Calibri" w:hAnsi="Calibri"/>
                <w:sz w:val="19"/>
                <w:szCs w:val="19"/>
              </w:rPr>
              <w:t xml:space="preserve">1</w:t>
            </w:r>
          </w:p>
        </w:tc>
        <w:tc>
          <w:tcPr>
            <w:tcW w:type="dxa" w:w="3400"/>
            <w:tcMar>
              <w:top w:type="dxa" w:w="80"/>
              <w:left w:type="dxa" w:w="110"/>
              <w:bottom w:type="dxa" w:w="80"/>
              <w:right w:type="dxa" w:w="110"/>
            </w:tcMar>
          </w:tcPr>
          <w:p>
            <w:r>
              <w:rPr>
                <w:rFonts w:ascii="Calibri" w:cs="Calibri" w:eastAsia="Calibri" w:hAnsi="Calibri"/>
                <w:sz w:val="19"/>
                <w:szCs w:val="19"/>
              </w:rPr>
              <w:t xml:space="preserve">ZONE-WEIGHTING</w:t>
            </w:r>
          </w:p>
        </w:tc>
        <w:tc>
          <w:tcPr>
            <w:tcW w:type="dxa" w:w="4900"/>
            <w:tcMar>
              <w:top w:type="dxa" w:w="80"/>
              <w:left w:type="dxa" w:w="110"/>
              <w:bottom w:type="dxa" w:w="80"/>
              <w:right w:type="dxa" w:w="110"/>
            </w:tcMar>
          </w:tcPr>
          <w:p>
            <w:r>
              <w:rPr>
                <w:rFonts w:ascii="Calibri" w:cs="Calibri" w:eastAsia="Calibri" w:hAnsi="Calibri"/>
                <w:sz w:val="19"/>
                <w:szCs w:val="19"/>
              </w:rPr>
              <w:t xml:space="preserve">affectsAreas is unweighted, so Inchworm counts as a shoulder stretch. A persona asking for neck and shoulders received four leg stretches out of five. Everything visual built on top of this will lie, visibly and beautifully. Content-data fix, not code.</w:t>
            </w:r>
          </w:p>
        </w:tc>
      </w:tr>
      <w:tr>
        <w:tc>
          <w:tcPr>
            <w:tcW w:type="dxa" w:w="900"/>
            <w:tcMar>
              <w:top w:type="dxa" w:w="80"/>
              <w:left w:type="dxa" w:w="110"/>
              <w:bottom w:type="dxa" w:w="80"/>
              <w:right w:type="dxa" w:w="110"/>
            </w:tcMar>
          </w:tcPr>
          <w:p>
            <w:r>
              <w:rPr>
                <w:rFonts w:ascii="Calibri" w:cs="Calibri" w:eastAsia="Calibri" w:hAnsi="Calibri"/>
                <w:sz w:val="19"/>
                <w:szCs w:val="19"/>
              </w:rPr>
              <w:t xml:space="preserve">2</w:t>
            </w:r>
          </w:p>
        </w:tc>
        <w:tc>
          <w:tcPr>
            <w:tcW w:type="dxa" w:w="3400"/>
            <w:tcMar>
              <w:top w:type="dxa" w:w="80"/>
              <w:left w:type="dxa" w:w="110"/>
              <w:bottom w:type="dxa" w:w="80"/>
              <w:right w:type="dxa" w:w="110"/>
            </w:tcMar>
          </w:tcPr>
          <w:p>
            <w:r>
              <w:rPr>
                <w:rFonts w:ascii="Calibri" w:cs="Calibri" w:eastAsia="Calibri" w:hAnsi="Calibri"/>
                <w:sz w:val="19"/>
                <w:szCs w:val="19"/>
              </w:rPr>
              <w:t xml:space="preserve">ARC-3-SETUP and the aim vocabulary</w:t>
            </w:r>
          </w:p>
        </w:tc>
        <w:tc>
          <w:tcPr>
            <w:tcW w:type="dxa" w:w="4900"/>
            <w:tcMar>
              <w:top w:type="dxa" w:w="80"/>
              <w:left w:type="dxa" w:w="110"/>
              <w:bottom w:type="dxa" w:w="80"/>
              <w:right w:type="dxa" w:w="110"/>
            </w:tcMar>
          </w:tcPr>
          <w:p>
            <w:r>
              <w:rPr>
                <w:rFonts w:ascii="Calibri" w:cs="Calibri" w:eastAsia="Calibri" w:hAnsi="Calibri"/>
                <w:sz w:val="19"/>
                <w:szCs w:val="19"/>
              </w:rPr>
              <w:t xml:space="preserve">REORDERED 3 Sep, ahead of the lobby. The arc is what makes a suggestion worth leading with; promoting one the coach cannot yet reason well about would put the weakest thing on the most prominent surface.</w:t>
            </w:r>
          </w:p>
        </w:tc>
      </w:tr>
      <w:tr>
        <w:tc>
          <w:tcPr>
            <w:tcW w:type="dxa" w:w="900"/>
            <w:tcMar>
              <w:top w:type="dxa" w:w="80"/>
              <w:left w:type="dxa" w:w="110"/>
              <w:bottom w:type="dxa" w:w="80"/>
              <w:right w:type="dxa" w:w="110"/>
            </w:tcMar>
          </w:tcPr>
          <w:p>
            <w:r>
              <w:rPr>
                <w:rFonts w:ascii="Calibri" w:cs="Calibri" w:eastAsia="Calibri" w:hAnsi="Calibri"/>
                <w:sz w:val="19"/>
                <w:szCs w:val="19"/>
              </w:rPr>
              <w:t xml:space="preserve">3</w:t>
            </w:r>
          </w:p>
        </w:tc>
        <w:tc>
          <w:tcPr>
            <w:tcW w:type="dxa" w:w="3400"/>
            <w:tcMar>
              <w:top w:type="dxa" w:w="80"/>
              <w:left w:type="dxa" w:w="110"/>
              <w:bottom w:type="dxa" w:w="80"/>
              <w:right w:type="dxa" w:w="110"/>
            </w:tcMar>
          </w:tcPr>
          <w:p>
            <w:r>
              <w:rPr>
                <w:rFonts w:ascii="Calibri" w:cs="Calibri" w:eastAsia="Calibri" w:hAnsi="Calibri"/>
                <w:sz w:val="19"/>
                <w:szCs w:val="19"/>
              </w:rPr>
              <w:t xml:space="preserve">LOBBY-1b</w:t>
            </w:r>
          </w:p>
        </w:tc>
        <w:tc>
          <w:tcPr>
            <w:tcW w:type="dxa" w:w="4900"/>
            <w:tcMar>
              <w:top w:type="dxa" w:w="80"/>
              <w:left w:type="dxa" w:w="110"/>
              <w:bottom w:type="dxa" w:w="80"/>
              <w:right w:type="dxa" w:w="110"/>
            </w:tcMar>
          </w:tcPr>
          <w:p>
            <w:r>
              <w:rPr>
                <w:rFonts w:ascii="Calibri" w:cs="Calibri" w:eastAsia="Calibri" w:hAnsi="Calibri"/>
                <w:sz w:val="19"/>
                <w:szCs w:val="19"/>
              </w:rPr>
              <w:t xml:space="preserve">NOT a layout job. coach-proposal requires a check-in, so the suggestion cannot be promoted onto an ungated Home. The split is what MAKES the promotion possible.</w:t>
            </w:r>
          </w:p>
        </w:tc>
      </w:tr>
      <w:tr>
        <w:tc>
          <w:tcPr>
            <w:tcW w:type="dxa" w:w="900"/>
            <w:tcMar>
              <w:top w:type="dxa" w:w="80"/>
              <w:left w:type="dxa" w:w="110"/>
              <w:bottom w:type="dxa" w:w="80"/>
              <w:right w:type="dxa" w:w="110"/>
            </w:tcMar>
          </w:tcPr>
          <w:p>
            <w:r>
              <w:rPr>
                <w:rFonts w:ascii="Calibri" w:cs="Calibri" w:eastAsia="Calibri" w:hAnsi="Calibri"/>
                <w:sz w:val="19"/>
                <w:szCs w:val="19"/>
              </w:rPr>
              <w:t xml:space="preserve">4</w:t>
            </w:r>
          </w:p>
        </w:tc>
        <w:tc>
          <w:tcPr>
            <w:tcW w:type="dxa" w:w="3400"/>
            <w:tcMar>
              <w:top w:type="dxa" w:w="80"/>
              <w:left w:type="dxa" w:w="110"/>
              <w:bottom w:type="dxa" w:w="80"/>
              <w:right w:type="dxa" w:w="110"/>
            </w:tcMar>
          </w:tcPr>
          <w:p>
            <w:r>
              <w:rPr>
                <w:rFonts w:ascii="Calibri" w:cs="Calibri" w:eastAsia="Calibri" w:hAnsi="Calibri"/>
                <w:sz w:val="19"/>
                <w:szCs w:val="19"/>
              </w:rPr>
              <w:t xml:space="preserve">Goals migration</w:t>
            </w:r>
          </w:p>
        </w:tc>
        <w:tc>
          <w:tcPr>
            <w:tcW w:type="dxa" w:w="4900"/>
            <w:tcMar>
              <w:top w:type="dxa" w:w="80"/>
              <w:left w:type="dxa" w:w="110"/>
              <w:bottom w:type="dxa" w:w="80"/>
              <w:right w:type="dxa" w:w="110"/>
            </w:tcMar>
          </w:tcPr>
          <w:p>
            <w:r>
              <w:rPr>
                <w:rFonts w:ascii="Calibri" w:cs="Calibri" w:eastAsia="Calibri" w:hAnsi="Calibri"/>
                <w:sz w:val="19"/>
                <w:szCs w:val="19"/>
              </w:rPr>
              <w:t xml:space="preserve">Twelve sites. Do it with the arc, not before — the copy that dies needs somewhere to go.</w:t>
            </w:r>
          </w:p>
        </w:tc>
      </w:tr>
      <w:tr>
        <w:tc>
          <w:tcPr>
            <w:tcW w:type="dxa" w:w="900"/>
            <w:tcMar>
              <w:top w:type="dxa" w:w="80"/>
              <w:left w:type="dxa" w:w="110"/>
              <w:bottom w:type="dxa" w:w="80"/>
              <w:right w:type="dxa" w:w="110"/>
            </w:tcMar>
          </w:tcPr>
          <w:p>
            <w:r>
              <w:rPr>
                <w:rFonts w:ascii="Calibri" w:cs="Calibri" w:eastAsia="Calibri" w:hAnsi="Calibri"/>
                <w:sz w:val="19"/>
                <w:szCs w:val="19"/>
              </w:rPr>
              <w:t xml:space="preserve">5</w:t>
            </w:r>
          </w:p>
        </w:tc>
        <w:tc>
          <w:tcPr>
            <w:tcW w:type="dxa" w:w="3400"/>
            <w:tcMar>
              <w:top w:type="dxa" w:w="80"/>
              <w:left w:type="dxa" w:w="110"/>
              <w:bottom w:type="dxa" w:w="80"/>
              <w:right w:type="dxa" w:w="110"/>
            </w:tcMar>
          </w:tcPr>
          <w:p>
            <w:r>
              <w:rPr>
                <w:rFonts w:ascii="Calibri" w:cs="Calibri" w:eastAsia="Calibri" w:hAnsi="Calibri"/>
                <w:sz w:val="19"/>
                <w:szCs w:val="19"/>
              </w:rPr>
              <w:t xml:space="preserve">Tier visibility and gold</w:t>
            </w:r>
          </w:p>
        </w:tc>
        <w:tc>
          <w:tcPr>
            <w:tcW w:type="dxa" w:w="4900"/>
            <w:tcMar>
              <w:top w:type="dxa" w:w="80"/>
              <w:left w:type="dxa" w:w="110"/>
              <w:bottom w:type="dxa" w:w="80"/>
              <w:right w:type="dxa" w:w="110"/>
            </w:tcMar>
          </w:tcPr>
          <w:p>
            <w:r>
              <w:rPr>
                <w:rFonts w:ascii="Calibri" w:cs="Calibri" w:eastAsia="Calibri" w:hAnsi="Calibri"/>
                <w:sz w:val="19"/>
                <w:szCs w:val="19"/>
              </w:rPr>
              <w:t xml:space="preserve">Small, and only meaningful once the arc panel exists to mark.</w:t>
            </w:r>
          </w:p>
        </w:tc>
      </w:tr>
    </w:tbl>
    <w:p>
      <w:pPr>
        <w:pBdr>
          <w:bottom w:val="single" w:color="BFCAD1" w:sz="6"/>
        </w:pBdr>
        <w:spacing w:after="180" w:before="100"/>
      </w:pPr>
    </w:p>
    <w:p>
      <w:pPr>
        <w:pStyle w:val="Heading2"/>
        <w:spacing w:after="140" w:before="300"/>
      </w:pPr>
      <w:r>
        <w:rPr>
          <w:rFonts w:ascii="Calibri" w:cs="Calibri" w:eastAsia="Calibri" w:hAnsi="Calibri"/>
        </w:rPr>
        <w:t xml:space="preserve">Appendix — open questions</w:t>
      </w:r>
    </w:p>
    <w:p>
      <w:pPr>
        <w:pStyle w:val="ListParagraph"/>
        <w:numPr>
          <w:ilvl w:val="0"/>
          <w:numId w:val="2"/>
        </w:numPr>
        <w:spacing w:after="90"/>
      </w:pPr>
      <w:r>
        <w:rPr>
          <w:rFonts w:ascii="Calibri" w:cs="Calibri" w:eastAsia="Calibri" w:hAnsi="Calibri"/>
          <w:sz w:val="21"/>
          <w:szCs w:val="21"/>
        </w:rPr>
        <w:t xml:space="preserve">Does the invitation go straight into the check-in, or via a confirmation? Straight through is one fewer tap, which matters for the executive-function case.</w:t>
      </w:r>
    </w:p>
    <w:p>
      <w:pPr>
        <w:pStyle w:val="ListParagraph"/>
        <w:numPr>
          <w:ilvl w:val="0"/>
          <w:numId w:val="2"/>
        </w:numPr>
        <w:spacing w:after="90"/>
      </w:pPr>
      <w:r>
        <w:rPr>
          <w:rFonts w:ascii="Calibri" w:cs="Calibri" w:eastAsia="Calibri" w:hAnsi="Calibri"/>
          <w:sz w:val="21"/>
          <w:szCs w:val="21"/>
        </w:rPr>
        <w:t xml:space="preserve">Where do Yoga &amp; Pilates and Community sit? Both start sessions, so by the lobby rule they belong beyond the gate — but that makes “or pick your own” longer than four.</w:t>
      </w:r>
    </w:p>
    <w:p>
      <w:pPr>
        <w:pStyle w:val="ListParagraph"/>
        <w:numPr>
          <w:ilvl w:val="0"/>
          <w:numId w:val="2"/>
        </w:numPr>
        <w:spacing w:after="90"/>
      </w:pPr>
      <w:r>
        <w:rPr>
          <w:rFonts w:ascii="Calibri" w:cs="Calibri" w:eastAsia="Calibri" w:hAnsi="Calibri"/>
          <w:sz w:val="21"/>
          <w:szCs w:val="21"/>
        </w:rPr>
        <w:t xml:space="preserve">Are the four quick picks the right four, and does “Something quieter” belong beside three session types?</w:t>
      </w:r>
    </w:p>
    <w:p>
      <w:pPr>
        <w:pStyle w:val="ListParagraph"/>
        <w:numPr>
          <w:ilvl w:val="0"/>
          <w:numId w:val="2"/>
        </w:numPr>
        <w:spacing w:after="90"/>
      </w:pPr>
      <w:r>
        <w:rPr>
          <w:rFonts w:ascii="Calibri" w:cs="Calibri" w:eastAsia="Calibri" w:hAnsi="Calibri"/>
          <w:sz w:val="21"/>
          <w:szCs w:val="21"/>
        </w:rPr>
        <w:t xml:space="preserve">How is an aim retired — achieved, abandoned, or simply changed? Achieved needs a response that is not celebration-as-pressure.</w:t>
      </w:r>
    </w:p>
    <w:p>
      <w:pPr>
        <w:spacing w:after="140" w:before="0"/>
      </w:pPr>
      <w:r>
        <w:rPr>
          <w:rFonts w:ascii="Calibri" w:cs="Calibri" w:eastAsia="Calibri" w:hAnsi="Calibri"/>
          <w:sz w:val="21"/>
          <w:szCs w:val="21"/>
        </w:rPr>
        <w:t xml:space="preserve"/>
      </w:r>
    </w:p>
    <w:p>
      <w:pPr>
        <w:spacing w:after="140" w:before="0"/>
      </w:pPr>
      <w:r>
        <w:rPr>
          <w:rFonts w:ascii="Calibri" w:cs="Calibri" w:eastAsia="Calibri" w:hAnsi="Calibri"/>
          <w:color w:val="5A6B75"/>
          <w:sz w:val="19"/>
          <w:szCs w:val="19"/>
        </w:rPr>
        <w:t xml:space="preserve">Build New Habits · 03 Sep 2026 v3</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2026-09-04T13:48:01.968Z</dcterms:created>
  <dcterms:modified xsi:type="dcterms:W3CDTF">2026-09-04T13:48:01.980Z</dcterms:modified>
</cp:coreProperties>
</file>

<file path=docProps/custom.xml><?xml version="1.0" encoding="utf-8"?>
<Properties xmlns="http://schemas.openxmlformats.org/officeDocument/2006/custom-properties" xmlns:vt="http://schemas.openxmlformats.org/officeDocument/2006/docPropsVTypes"/>
</file>