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36"/>
          <w:szCs w:val="36"/>
        </w:rPr>
        <w:t xml:space="preserve">Alongside: Move</w:t>
      </w:r>
    </w:p>
    <w:p>
      <w:pPr>
        <w:spacing w:after="40"/>
      </w:pPr>
      <w:r>
        <w:rPr>
          <w:sz w:val="26"/>
          <w:szCs w:val="26"/>
        </w:rPr>
        <w:t xml:space="preserve">Follow-up questions — ME/CFS, and three conditions still open</w:t>
      </w:r>
    </w:p>
    <w:p>
      <w:pPr>
        <w:spacing w:after="200"/>
      </w:pPr>
      <w:r>
        <w:rPr>
          <w:color w:val="6B7780"/>
          <w:sz w:val="20"/>
          <w:szCs w:val="20"/>
        </w:rPr>
        <w:t xml:space="preserve">Build New Habits  ·  16 August 2026  ·  v1</w:t>
      </w:r>
    </w:p>
    <w:p>
      <w:pPr>
        <w:pBdr>
          <w:bottom w:val="single" w:color="C7CDD2" w:sz="6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5F"/>
          <w:sz w:val="30"/>
          <w:szCs w:val="30"/>
        </w:rPr>
        <w:t xml:space="preserve">Thank you — and what your review already changed</w:t>
      </w:r>
    </w:p>
    <w:p>
      <w:pPr>
        <w:spacing w:after="120" w:line="276"/>
      </w:pPr>
      <w:r>
        <w:rPr>
          <w:sz w:val="22"/>
          <w:szCs w:val="22"/>
        </w:rPr>
        <w:t xml:space="preserve">Your review was specific enough to build from, which is rare. Three things have already happened as a direct result, before this follow-up: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The red-flag screen is in the design. You were right and I was wrong — the point that settled it was that asking “where does it hurt” and “how long” is already a triage interaction in the user's eyes. Three items, hard stop, before chain entry.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Hypermobility/EDS is now handled in the live app. I checked the code after your review and found that hypermobility appeared in the avoid list of zero of our 551 exercises — it was being collected at sign-up and then changing nothing. Every stretch-pattern exercise is now excluded for that group.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Upper limb will not open. Redirect threshold moved from 12 weeks to 6, unified across chains.</w:t>
      </w:r>
    </w:p>
    <w:p>
      <w:pPr>
        <w:spacing w:after="120" w:line="276"/>
      </w:pPr>
      <w:r>
        <w:rPr>
          <w:i/>
          <w:iCs/>
          <w:sz w:val="22"/>
          <w:szCs w:val="22"/>
        </w:rPr>
        <w:t xml:space="preserve">This document is a short follow-up on the one part of your review with the widest consequences, plus two conditions I asked about that were not covered.</w:t>
      </w:r>
    </w:p>
    <w:p>
      <w:pPr>
        <w:pStyle w:val="Heading1"/>
        <w:spacing w:after="160" w:before="320"/>
      </w:pPr>
      <w:r>
        <w:rPr>
          <w:b/>
          <w:bCs/>
          <w:color w:val="1F4E5F"/>
          <w:sz w:val="30"/>
          <w:szCs w:val="30"/>
        </w:rPr>
        <w:t xml:space="preserve">Part 1 — ME/CFS</w:t>
      </w:r>
    </w:p>
    <w:p>
      <w:pPr>
        <w:spacing w:after="120" w:line="276"/>
      </w:pPr>
      <w:r>
        <w:rPr>
          <w:sz w:val="22"/>
          <w:szCs w:val="22"/>
        </w:rPr>
        <w:t xml:space="preserve">Your words:</w:t>
      </w:r>
    </w:p>
    <w:p>
      <w:pPr>
        <w:pBdr>
          <w:left w:val="single" w:color="1F4E5F" w:sz="12" w:space="8"/>
        </w:pBdr>
        <w:spacing w:after="140" w:line="276"/>
        <w:ind w:left="431"/>
      </w:pPr>
      <w:r>
        <w:rPr>
          <w:i/>
          <w:iCs/>
          <w:sz w:val="22"/>
          <w:szCs w:val="22"/>
        </w:rPr>
        <w:t xml:space="preserve">“ME/CFS must never route through a standard load/pain adaptation model. Post-Exertional Malaise is not mechanical load intolerance; it is neuro-immune. Adapting volume to ‘how you feel today’ is the exact mechanism that triggers severe baseline crashes.”</w:t>
      </w:r>
    </w:p>
    <w:p>
      <w:pPr>
        <w:spacing w:after="120" w:line="276"/>
      </w:pPr>
      <w:r>
        <w:rPr>
          <w:b w:val="false"/>
          <w:bCs w:val="false"/>
          <w:sz w:val="22"/>
          <w:szCs w:val="22"/>
        </w:rPr>
        <w:t xml:space="preserve">This landed harder than the rest of the review, because “adapting to how you feel today” is not a feature of our app — it is what the app </w:t>
      </w:r>
      <w:r>
        <w:rPr>
          <w:b/>
          <w:bCs/>
          <w:sz w:val="22"/>
          <w:szCs w:val="22"/>
        </w:rPr>
        <w:t xml:space="preserve">is</w:t>
      </w:r>
      <w:r>
        <w:rPr>
          <w:sz w:val="22"/>
          <w:szCs w:val="22"/>
        </w:rPr>
        <w:t xml:space="preserve">. The daily check-in, the session the coach proposes, the difficulty ceiling: all of it reads today and adjusts. So for this group the core mechanic is the contraindication, and there is no version of patching around it.</w:t>
      </w:r>
    </w:p>
    <w:p>
      <w:pPr>
        <w:pStyle w:val="Heading2"/>
        <w:spacing w:after="120" w:before="240"/>
      </w:pPr>
      <w:r>
        <w:rPr>
          <w:b/>
          <w:bCs/>
          <w:color w:val="1F4E5F"/>
          <w:sz w:val="24"/>
          <w:szCs w:val="24"/>
        </w:rPr>
        <w:t xml:space="preserve">The problem we hit immediately</w:t>
      </w:r>
    </w:p>
    <w:p>
      <w:pPr>
        <w:spacing w:after="120" w:line="276"/>
      </w:pPr>
      <w:r>
        <w:rPr>
          <w:sz w:val="22"/>
          <w:szCs w:val="22"/>
        </w:rPr>
        <w:t xml:space="preserve">Our app has one condition option, labelled “Chronic fatigue / ME-CFS”. Those are not the same thing, and we think any single decision is wrong for one of the two groups: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Somebody persistently exhausted — thyroid, long-term stress, poor sleep, recovering from illness — is probably well served by an adaptive model.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Somebody with ME/CFS and post-exertional malaise may be harmed by the same model.</w:t>
      </w:r>
    </w:p>
    <w:p>
      <w:pPr>
        <w:spacing w:after="120" w:line="276"/>
      </w:pPr>
      <w:r>
        <w:rPr>
          <w:sz w:val="22"/>
          <w:szCs w:val="22"/>
        </w:rPr>
        <w:t xml:space="preserve">Excluding everyone turns away people we could help. Including everyone keeps harming the people your review is about.</w:t>
      </w:r>
    </w:p>
    <w:p>
      <w:pPr>
        <w:pStyle w:val="Heading2"/>
        <w:spacing w:after="120" w:before="240"/>
      </w:pPr>
      <w:r>
        <w:rPr>
          <w:b/>
          <w:bCs/>
          <w:color w:val="1F4E5F"/>
          <w:sz w:val="24"/>
          <w:szCs w:val="24"/>
        </w:rPr>
        <w:t xml:space="preserve">What we have decided, subject to your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D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6960"/>
            <w:shd w:fill="ED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What we chose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to tell the two apart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Keep one condition option, and ask ONE distinguishing question about delayed crashes rather than asking people to self-identify with a diagnosis. Reasoning: it asks about the mechanism rather than the label, so it reaches people who have never been given a name for what happens to them.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the app then offers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Breathing, mindfulness and seated practices only. No sessions, no programmes, no progression.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it is worded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failure belongs to the product, never the person. Not “you cannot do this” — only “I am not built for this yet.”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Whether they are blocked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No. Nobody is locked out. We restrict what we offer and say plainly why.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1F4E5F"/>
          <w:sz w:val="24"/>
          <w:szCs w:val="24"/>
        </w:rPr>
        <w:t xml:space="preserve">The draft question — please correct or replace it</w:t>
      </w:r>
    </w:p>
    <w:p>
      <w:pPr>
        <w:spacing w:after="120" w:line="276"/>
      </w:pPr>
      <w:r>
        <w:rPr>
          <w:sz w:val="22"/>
          <w:szCs w:val="22"/>
        </w:rPr>
        <w:t xml:space="preserve">We have drafted this so you have something concrete to react to. We are not comfortable writing a screening question ourselves and would rather you rewrote it entirely than approved ours out of politeness.</w:t>
      </w:r>
    </w:p>
    <w:p>
      <w:pPr>
        <w:pBdr>
          <w:left w:val="single" w:color="1F4E5F" w:sz="12" w:space="8"/>
        </w:pBdr>
        <w:spacing w:after="140" w:line="276"/>
        <w:ind w:left="431"/>
      </w:pPr>
      <w:r>
        <w:rPr>
          <w:i/>
          <w:iCs/>
          <w:sz w:val="22"/>
          <w:szCs w:val="22"/>
        </w:rPr>
        <w:t xml:space="preserve">“After you have been active — even a little — do you sometimes feel much worse a day or two later, and take days rather than hours to recover?”</w:t>
      </w:r>
    </w:p>
    <w:p>
      <w:pPr>
        <w:spacing w:after="120" w:line="276"/>
      </w:pPr>
      <w:r>
        <w:rPr>
          <w:sz w:val="22"/>
          <w:szCs w:val="22"/>
        </w:rPr>
        <w:t xml:space="preserve">Proposed answers: Yes, often  /  Sometimes  /  No  /  I am not sure</w:t>
      </w:r>
    </w:p>
    <w:p>
      <w:pPr>
        <w:spacing w:after="120" w:line="276"/>
      </w:pPr>
      <w:r>
        <w:rPr>
          <w:sz w:val="22"/>
          <w:szCs w:val="22"/>
        </w:rPr>
        <w:t xml:space="preserve">Our uncertainties, in case they are useful to you: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Whether “a day or two” is the right window, or too narrow.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Whether it should mention mental and emotional exertion, not just physical. We understand cognitive exertion can trigger the same response, but including it made the question long.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What we should do with “Sometimes” and “I am not sure” — currently we would treat both as yes, on the grounds that the cost of being wrong is asymmetric.</w:t>
      </w:r>
    </w:p>
    <w:p>
      <w:pPr>
        <w:pStyle w:val="Heading1"/>
        <w:spacing w:after="160" w:before="320"/>
      </w:pPr>
      <w:r>
        <w:rPr>
          <w:b/>
          <w:bCs/>
          <w:color w:val="1F4E5F"/>
          <w:sz w:val="30"/>
          <w:szCs w:val="30"/>
        </w:rPr>
        <w:t xml:space="preserve">Part 2 — The four questions</w:t>
      </w:r>
    </w:p>
    <w:p>
      <w:pPr>
        <w:spacing w:after="60" w:before="200" w:line="276"/>
      </w:pPr>
      <w:r>
        <w:rPr>
          <w:b/>
          <w:bCs/>
          <w:color w:val="1F4E5F"/>
          <w:sz w:val="22"/>
          <w:szCs w:val="22"/>
        </w:rPr>
        <w:t xml:space="preserve">1. Is a question like this appropriate for a non-clinical app at all?</w:t>
      </w:r>
    </w:p>
    <w:p>
      <w:pPr>
        <w:spacing w:after="80" w:line="276"/>
      </w:pPr>
      <w:r>
        <w:rPr>
          <w:sz w:val="22"/>
          <w:szCs w:val="22"/>
        </w:rPr>
        <w:t xml:space="preserve">And if it is, what should it say? If your view is that we should not ask, we will fall back to asking people to self-identify as chronic fatigue or ME/CFS, which we think is worse but will do rather than overreach.</w:t>
      </w:r>
    </w:p>
    <w:p>
      <w:pPr>
        <w:spacing w:after="60" w:before="200" w:line="276"/>
      </w:pPr>
      <w:r>
        <w:rPr>
          <w:b/>
          <w:bCs/>
          <w:color w:val="1F4E5F"/>
          <w:sz w:val="22"/>
          <w:szCs w:val="22"/>
        </w:rPr>
        <w:t xml:space="preserve">2. What is genuinely non-exertional?</w:t>
      </w:r>
    </w:p>
    <w:p>
      <w:pPr>
        <w:spacing w:after="80" w:line="276"/>
      </w:pPr>
      <w:r>
        <w:rPr>
          <w:sz w:val="22"/>
          <w:szCs w:val="22"/>
        </w:rPr>
        <w:t xml:space="preserve">We assume breathing exercises and seated mindfulness are safe. We are NOT assuming anything about walking — our app currently offers a “gentle walk” as part of its lowest-intensity option, and we would rather ask than guess. Is there a category of movement that is safe here, or is the honest answer that our lowest tier should contain no movement at all for this group?</w:t>
      </w:r>
    </w:p>
    <w:p>
      <w:pPr>
        <w:spacing w:after="60" w:before="200" w:line="276"/>
      </w:pPr>
      <w:r>
        <w:rPr>
          <w:b/>
          <w:bCs/>
          <w:color w:val="1F4E5F"/>
          <w:sz w:val="22"/>
          <w:szCs w:val="22"/>
        </w:rPr>
        <w:t xml:space="preserve">3. Is chronic fatigue WITHOUT post-exertional malaise safe on our normal adaptive model?</w:t>
      </w:r>
    </w:p>
    <w:p>
      <w:pPr>
        <w:spacing w:after="80" w:line="276"/>
      </w:pPr>
      <w:r>
        <w:rPr>
          <w:sz w:val="22"/>
          <w:szCs w:val="22"/>
        </w:rPr>
        <w:t xml:space="preserve">This determines how much the distinguishing question actually buys us. If the answer is “yes, with care”, we serve a large group properly. If it is “not really”, we should stop trying to separate them.</w:t>
      </w:r>
    </w:p>
    <w:p>
      <w:pPr>
        <w:spacing w:after="60" w:before="200" w:line="276"/>
      </w:pPr>
      <w:r>
        <w:rPr>
          <w:b/>
          <w:bCs/>
          <w:color w:val="1F4E5F"/>
          <w:sz w:val="22"/>
          <w:szCs w:val="22"/>
        </w:rPr>
        <w:t xml:space="preserve">4. Is there anything in our wording that a clinician would object to?</w:t>
      </w:r>
    </w:p>
    <w:p>
      <w:pPr>
        <w:spacing w:after="80" w:line="276"/>
      </w:pPr>
      <w:r>
        <w:rPr>
          <w:sz w:val="22"/>
          <w:szCs w:val="22"/>
        </w:rPr>
        <w:t xml:space="preserve">Specifically, could any of it read as discouraging activity altogether? We understand that is its own harm, and that people with ME/CFS are already frequently told contradictory things about movement. Our draft message is below.</w:t>
      </w:r>
    </w:p>
    <w:p>
      <w:pPr>
        <w:spacing w:before="200"/>
      </w:pPr>
    </w:p>
    <w:p>
      <w:pPr>
        <w:spacing w:after="120" w:line="276"/>
      </w:pPr>
      <w:r>
        <w:rPr>
          <w:b/>
          <w:bCs/>
          <w:sz w:val="22"/>
          <w:szCs w:val="22"/>
        </w:rPr>
        <w:t xml:space="preserve">The message somebody would see, once they answered yes to the question above:</w:t>
      </w:r>
    </w:p>
    <w:p>
      <w:pPr>
        <w:pBdr>
          <w:left w:val="single" w:color="1F4E5F" w:sz="12" w:space="8"/>
        </w:pBdr>
        <w:spacing w:after="140" w:line="276"/>
        <w:ind w:left="431"/>
      </w:pPr>
      <w:r>
        <w:rPr>
          <w:i/>
          <w:iCs/>
          <w:sz w:val="22"/>
          <w:szCs w:val="22"/>
        </w:rPr>
        <w:t xml:space="preserve">“Thank you for telling me. I want to be straight with you about something. The way I work is to look at how you are feeling today and adjust what I suggest from there. For ME and CFS, the guidance I have been given is clear that this can do harm — because a good day can be followed by a crash two days later, and adjusting to today does not see that coming. So I am not going to pretend I am built for this yet. What I can offer you is the breathing and mindfulness work, which asks nothing of your energy. What I cannot offer is a plan that paces properly around your limits, and that is the thing that would actually help. I would rather tell you that than sell you something that sets you back.”</w:t>
      </w:r>
    </w:p>
    <w:p>
      <w:pPr>
        <w:pStyle w:val="Heading1"/>
        <w:spacing w:after="160" w:before="320"/>
      </w:pPr>
      <w:r>
        <w:rPr>
          <w:b/>
          <w:bCs/>
          <w:color w:val="1F4E5F"/>
          <w:sz w:val="30"/>
          <w:szCs w:val="30"/>
        </w:rPr>
        <w:t xml:space="preserve">Part 3 — Two conditions we asked about and did not hear back on</w:t>
      </w:r>
    </w:p>
    <w:p>
      <w:pPr>
        <w:spacing w:after="120" w:line="276"/>
      </w:pPr>
      <w:r>
        <w:rPr>
          <w:sz w:val="22"/>
          <w:szCs w:val="22"/>
        </w:rPr>
        <w:t xml:space="preserve">Both are in exactly the state hypermobility was in before your review: collected at sign-up, and then changing nothing about what the person is given. We have deliberately left them alone rather than guess.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Fibromyalgia. </w:t>
      </w:r>
      <w:r>
        <w:rPr>
          <w:sz w:val="22"/>
          <w:szCs w:val="22"/>
        </w:rPr>
        <w:t xml:space="preserve">Is there guidance equivalent to what you gave for hypermobility — anything that should be avoided, or any principle that should shape what we offer? Or is an adaptive, pain-responsive model broadly appropriate here?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Osteoporosis / low bone density. </w:t>
      </w:r>
      <w:r>
        <w:rPr>
          <w:sz w:val="22"/>
          <w:szCs w:val="22"/>
        </w:rPr>
        <w:t xml:space="preserve">This one was not raised in the original review. We have deliberately written nothing, because a plausible-sounding rule invented by us and recorded as clinical guidance is worse than an open gap.</w:t>
      </w:r>
    </w:p>
    <w:p>
      <w:pPr>
        <w:spacing w:after="120" w:line="276"/>
      </w:pPr>
      <w:r>
        <w:rPr>
          <w:sz w:val="22"/>
          <w:szCs w:val="22"/>
        </w:rPr>
        <w:t xml:space="preserve">If either needs more than a sentence, we are happy to treat it as a separate piece of work rather than squeeze it into a follow-up.</w:t>
      </w:r>
    </w:p>
    <w:p>
      <w:pPr>
        <w:pStyle w:val="Heading1"/>
        <w:spacing w:after="160" w:before="320"/>
      </w:pPr>
      <w:r>
        <w:rPr>
          <w:b/>
          <w:bCs/>
          <w:color w:val="1F4E5F"/>
          <w:sz w:val="30"/>
          <w:szCs w:val="30"/>
        </w:rPr>
        <w:t xml:space="preserve">One thing we would still value</w:t>
      </w:r>
    </w:p>
    <w:p>
      <w:pPr>
        <w:spacing w:after="120" w:line="276"/>
      </w:pPr>
      <w:r>
        <w:rPr>
          <w:sz w:val="22"/>
          <w:szCs w:val="22"/>
        </w:rPr>
        <w:t xml:space="preserve">Your third pre-beta condition was an independent clinical audit of all 95 rehabilitation exercise descriptions, checking that the cueing emphasises capacity and reassurance rather than fear-avoidance.</w:t>
      </w:r>
    </w:p>
    <w:p>
      <w:pPr>
        <w:spacing w:after="120" w:line="276"/>
      </w:pPr>
      <w:r>
        <w:rPr>
          <w:sz w:val="22"/>
          <w:szCs w:val="22"/>
        </w:rPr>
        <w:t xml:space="preserve">Would you be willing to do that, on a paid basis? You have already read the design, which makes you considerably better placed than someone starting cold. If not, we would welcome a steer on who to approach.</w:t>
      </w:r>
    </w:p>
    <w:p>
      <w:pPr>
        <w:spacing w:before="300"/>
      </w:pPr>
    </w:p>
    <w:p>
      <w:pPr>
        <w:jc w:val="center"/>
      </w:pPr>
      <w:r>
        <w:rPr>
          <w:color w:val="6B7780"/>
          <w:sz w:val="18"/>
          <w:szCs w:val="18"/>
        </w:rPr>
        <w:t xml:space="preserve">Build New Habits · Alongside: Move · ME/CFS follow-up · 16 August 2026 v1</w:t>
      </w:r>
    </w:p>
    <w:p>
      <w:pPr>
        <w:jc w:val="center"/>
      </w:pPr>
      <w:r>
        <w:rPr>
          <w:i/>
          <w:iCs/>
          <w:color w:val="6B7780"/>
          <w:sz w:val="18"/>
          <w:szCs w:val="18"/>
        </w:rPr>
        <w:t xml:space="preserve">Nothing described here will be built until these questions are answered.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2026-08-16T14:33:34.237Z</dcterms:created>
  <dcterms:modified xsi:type="dcterms:W3CDTF">2026-08-16T14:33:34.253Z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