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D7377"/>
          <w:sz w:val="44"/>
          <w:szCs w:val="44"/>
        </w:rPr>
        <w:t xml:space="preserve">Alongside</w:t>
      </w:r>
    </w:p>
    <w:p>
      <w:pPr>
        <w:spacing w:after="80" w:before="0"/>
      </w:pPr>
      <w:r>
        <w:rPr>
          <w:rFonts w:ascii="Arial" w:cs="Arial" w:eastAsia="Arial" w:hAnsi="Arial"/>
          <w:color w:val="2D2D2D"/>
          <w:sz w:val="28"/>
          <w:szCs w:val="28"/>
        </w:rPr>
        <w:t xml:space="preserve">Freemium Model — Feature &amp; Premium Decisions</w:t>
      </w:r>
    </w:p>
    <w:p>
      <w:pPr>
        <w:spacing w:after="320" w:before="0"/>
      </w:pPr>
      <w:r>
        <w:rPr>
          <w:rFonts w:ascii="Arial" w:cs="Arial" w:eastAsia="Arial" w:hAnsi="Arial"/>
          <w:color w:val="888888"/>
          <w:sz w:val="19"/>
          <w:szCs w:val="19"/>
        </w:rPr>
        <w:t xml:space="preserve">Agreed: 8 March 2026  |  Phase 3 scope  |  Supersedes Alongside_freemium_model.md v1.0</w:t>
      </w:r>
    </w:p>
    <w:p>
      <w:pPr>
        <w:pStyle w:val="Heading1"/>
        <w:spacing w:after="120" w:before="400"/>
      </w:pPr>
      <w:r>
        <w:rPr>
          <w:rFonts w:ascii="Arial" w:cs="Arial" w:eastAsia="Arial" w:hAnsi="Arial"/>
          <w:b/>
          <w:bCs/>
          <w:color w:val="0D7377"/>
          <w:sz w:val="28"/>
          <w:szCs w:val="28"/>
        </w:rPr>
        <w:t xml:space="preserve">1. Subscription Model</w:t>
      </w:r>
    </w:p>
    <w:p>
      <w:pPr>
        <w:spacing w:after="80" w:before="60"/>
      </w:pPr>
      <w:r>
        <w:rPr>
          <w:rFonts w:ascii="Arial" w:cs="Arial" w:eastAsia="Arial" w:hAnsi="Arial"/>
          <w:color w:val="2D2D2D"/>
          <w:sz w:val="20"/>
          <w:szCs w:val="20"/>
        </w:rPr>
        <w:t xml:space="preserve">Two tiers at launch: Free and Personal. Simple, easy to communicate, right for an early-stage product with an individual-focused audience.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0D7377" w:val="clear"/>
            <w:tcMar>
              <w:top w:type="dxa" w:w="90"/>
              <w:left w:type="dxa" w:w="140"/>
              <w:bottom w:type="dxa" w:w="90"/>
              <w:right w:type="dxa" w:w="140"/>
            </w:tcMar>
          </w:tcPr>
          <w:p>
            <w:r>
              <w:rPr>
                <w:rFonts w:ascii="Arial" w:cs="Arial" w:eastAsia="Arial" w:hAnsi="Arial"/>
                <w:b/>
                <w:bCs/>
                <w:color w:val="FFFFFF"/>
                <w:sz w:val="20"/>
                <w:szCs w:val="20"/>
              </w:rPr>
              <w:t xml:space="preserve">Tier</w:t>
            </w:r>
          </w:p>
        </w:tc>
        <w:tc>
          <w:tcPr>
            <w:tcW w:type="dxa" w:w="2200"/>
            <w:tcBorders>
              <w:top w:val="single" w:color="DDDDDD" w:sz="1"/>
              <w:left w:val="single" w:color="DDDDDD" w:sz="1"/>
              <w:bottom w:val="single" w:color="DDDDDD" w:sz="1"/>
              <w:right w:val="single" w:color="DDDDDD" w:sz="1"/>
            </w:tcBorders>
            <w:shd w:fill="0D7377" w:val="clear"/>
            <w:tcMar>
              <w:top w:type="dxa" w:w="90"/>
              <w:left w:type="dxa" w:w="140"/>
              <w:bottom w:type="dxa" w:w="90"/>
              <w:right w:type="dxa" w:w="140"/>
            </w:tcMar>
          </w:tcPr>
          <w:p>
            <w:r>
              <w:rPr>
                <w:rFonts w:ascii="Arial" w:cs="Arial" w:eastAsia="Arial" w:hAnsi="Arial"/>
                <w:b/>
                <w:bCs/>
                <w:color w:val="FFFFFF"/>
                <w:sz w:val="20"/>
                <w:szCs w:val="20"/>
              </w:rPr>
              <w:t xml:space="preserve">Price</w:t>
            </w:r>
          </w:p>
        </w:tc>
        <w:tc>
          <w:tcPr>
            <w:tcW w:type="dxa" w:w="4960"/>
            <w:tcBorders>
              <w:top w:val="single" w:color="DDDDDD" w:sz="1"/>
              <w:left w:val="single" w:color="DDDDDD" w:sz="1"/>
              <w:bottom w:val="single" w:color="DDDDDD" w:sz="1"/>
              <w:right w:val="single" w:color="DDDDDD" w:sz="1"/>
            </w:tcBorders>
            <w:shd w:fill="0D7377" w:val="clear"/>
            <w:tcMar>
              <w:top w:type="dxa" w:w="90"/>
              <w:left w:type="dxa" w:w="140"/>
              <w:bottom w:type="dxa" w:w="90"/>
              <w:right w:type="dxa" w:w="140"/>
            </w:tcMa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2D2D2D"/>
                <w:sz w:val="19"/>
                <w:szCs w:val="19"/>
              </w:rPr>
              <w:t xml:space="preserve">Free</w:t>
            </w:r>
          </w:p>
        </w:tc>
        <w:tc>
          <w:tcPr>
            <w:tcW w:type="dxa" w:w="22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0D7377"/>
                <w:sz w:val="19"/>
                <w:szCs w:val="19"/>
              </w:rPr>
              <w:t xml:space="preserve">£0</w:t>
            </w:r>
          </w:p>
        </w:tc>
        <w:tc>
          <w:tcPr>
            <w:tcW w:type="dxa" w:w="49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Genuine value. Safety features never paywalled. 1 starter programme. Core check-in and workout generation.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D2D2D"/>
                <w:sz w:val="19"/>
                <w:szCs w:val="19"/>
              </w:rPr>
              <w:t xml:space="preserve">Personal (monthly)</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0D7377"/>
                <w:sz w:val="19"/>
                <w:szCs w:val="19"/>
              </w:rPr>
              <w:t xml:space="preserve">£9.99 / month</w:t>
            </w:r>
          </w:p>
        </w:tc>
        <w:tc>
          <w:tcPr>
            <w:tcW w:type="dxa" w:w="4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Primary recurring revenue. Full feature access. Cancel anytime.</w:t>
            </w:r>
          </w:p>
        </w:tc>
      </w:tr>
      <w:tr>
        <w:tc>
          <w:tcPr>
            <w:tcW w:type="dxa" w:w="22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2D2D2D"/>
                <w:sz w:val="19"/>
                <w:szCs w:val="19"/>
              </w:rPr>
              <w:t xml:space="preserve">Personal (annual)</w:t>
            </w:r>
          </w:p>
        </w:tc>
        <w:tc>
          <w:tcPr>
            <w:tcW w:type="dxa" w:w="22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0D7377"/>
                <w:sz w:val="19"/>
                <w:szCs w:val="19"/>
              </w:rPr>
              <w:t xml:space="preserve">£89 / year</w:t>
            </w:r>
          </w:p>
        </w:tc>
        <w:tc>
          <w:tcPr>
            <w:tcW w:type="dxa" w:w="49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Preferred tier. Saves £30.88 vs monthly. Improves retention and cash flow.</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D2D2D"/>
                <w:sz w:val="19"/>
                <w:szCs w:val="19"/>
              </w:rPr>
              <w:t xml:space="preserve">Founding Member</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0D7377"/>
                <w:sz w:val="19"/>
                <w:szCs w:val="19"/>
              </w:rPr>
              <w:t xml:space="preserve">£49 lifetime</w:t>
            </w:r>
          </w:p>
        </w:tc>
        <w:tc>
          <w:tcPr>
            <w:tcW w:type="dxa" w:w="4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Time-limited beta incentive. Closes at public launch. Not a permanent tier. 3 months free then £49 for lifetime Personal access.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FF8E8" w:val="clear"/>
            <w:tcMar>
              <w:top w:type="dxa" w:w="90"/>
              <w:left w:type="dxa" w:w="140"/>
              <w:bottom w:type="dxa" w:w="90"/>
              <w:right w:type="dxa" w:w="140"/>
            </w:tcMar>
            <w:vAlign w:val="center"/>
          </w:tcPr>
          <w:p>
            <w:pPr>
              <w:jc w:val="center"/>
            </w:pPr>
            <w:r>
              <w:rPr>
                <w:rFonts w:ascii="Arial" w:cs="Arial" w:eastAsia="Arial" w:hAnsi="Arial"/>
                <w:b/>
                <w:bCs/>
                <w:color w:val="B8860B"/>
                <w:sz w:val="18"/>
                <w:szCs w:val="18"/>
              </w:rPr>
              <w:t xml:space="preserve">FAMILY TIER</w:t>
            </w:r>
          </w:p>
        </w:tc>
        <w:tc>
          <w:tcPr>
            <w:tcW w:type="dxa" w:w="7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Deferred — not at launch. Revisit post-launch based on user demand. Multi-profile management adds complexity not appropriate for a beta-stage product.</w:t>
            </w:r>
          </w:p>
        </w:tc>
      </w:tr>
    </w:tbl>
    <w:p>
      <w:pPr>
        <w:spacing w:after="0" w:before="200"/>
      </w:pPr>
    </w:p>
    <w:p>
      <w:pPr>
        <w:pStyle w:val="Heading1"/>
        <w:spacing w:after="120" w:before="400"/>
      </w:pPr>
      <w:r>
        <w:rPr>
          <w:rFonts w:ascii="Arial" w:cs="Arial" w:eastAsia="Arial" w:hAnsi="Arial"/>
          <w:b/>
          <w:bCs/>
          <w:color w:val="0D7377"/>
          <w:sz w:val="28"/>
          <w:szCs w:val="28"/>
        </w:rPr>
        <w:t xml:space="preserve">2. Ethical Commitments — Always Free</w:t>
      </w:r>
    </w:p>
    <w:p>
      <w:pPr>
        <w:spacing w:after="80" w:before="60"/>
      </w:pPr>
      <w:r>
        <w:rPr>
          <w:rFonts w:ascii="Arial" w:cs="Arial" w:eastAsia="Arial" w:hAnsi="Arial"/>
          <w:color w:val="2D2D2D"/>
          <w:sz w:val="20"/>
          <w:szCs w:val="20"/>
        </w:rPr>
        <w:t xml:space="preserve">The following features are permanently free regardless of subscription tier. This is a stated ethical commitment, not a commercial decision.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0D7377" w:val="clear"/>
            <w:tcMar>
              <w:top w:type="dxa" w:w="90"/>
              <w:left w:type="dxa" w:w="140"/>
              <w:bottom w:type="dxa" w:w="90"/>
              <w:right w:type="dxa" w:w="140"/>
            </w:tcMar>
          </w:tcPr>
          <w:p>
            <w:r>
              <w:rPr>
                <w:rFonts w:ascii="Arial" w:cs="Arial" w:eastAsia="Arial" w:hAnsi="Arial"/>
                <w:b/>
                <w:bCs/>
                <w:color w:val="FFFFFF"/>
                <w:sz w:val="20"/>
                <w:szCs w:val="20"/>
              </w:rPr>
              <w:t xml:space="preserve">Feature</w:t>
            </w:r>
          </w:p>
        </w:tc>
        <w:tc>
          <w:tcPr>
            <w:tcW w:type="dxa" w:w="6160"/>
            <w:tcBorders>
              <w:top w:val="single" w:color="DDDDDD" w:sz="1"/>
              <w:left w:val="single" w:color="DDDDDD" w:sz="1"/>
              <w:bottom w:val="single" w:color="DDDDDD" w:sz="1"/>
              <w:right w:val="single" w:color="DDDDDD" w:sz="1"/>
            </w:tcBorders>
            <w:shd w:fill="0D7377" w:val="clear"/>
            <w:tcMar>
              <w:top w:type="dxa" w:w="90"/>
              <w:left w:type="dxa" w:w="140"/>
              <w:bottom w:type="dxa" w:w="90"/>
              <w:right w:type="dxa" w:w="140"/>
            </w:tcMar>
          </w:tcPr>
          <w:p>
            <w:r>
              <w:rPr>
                <w:rFonts w:ascii="Arial" w:cs="Arial" w:eastAsia="Arial" w:hAnsi="Arial"/>
                <w:b/>
                <w:bCs/>
                <w:color w:val="FFFFFF"/>
                <w:sz w:val="20"/>
                <w:szCs w:val="20"/>
              </w:rPr>
              <w:t xml:space="preserve">Why it must stay free</w:t>
            </w:r>
          </w:p>
        </w:tc>
      </w:tr>
      <w:tr>
        <w:tc>
          <w:tcPr>
            <w:tcW w:type="dxa" w:w="3200"/>
            <w:tcBorders>
              <w:top w:val="single" w:color="DDDDDD" w:sz="1"/>
              <w:left w:val="single" w:color="DDDDDD" w:sz="1"/>
              <w:bottom w:val="single" w:color="DDDDDD" w:sz="1"/>
              <w:right w:val="single" w:color="DDDDDD" w:sz="1"/>
            </w:tcBorders>
            <w:shd w:fill="E8F5EE" w:val="clear"/>
            <w:tcMar>
              <w:top w:type="dxa" w:w="70"/>
              <w:left w:type="dxa" w:w="120"/>
              <w:bottom w:type="dxa" w:w="70"/>
              <w:right w:type="dxa" w:w="120"/>
            </w:tcMar>
          </w:tcPr>
          <w:p>
            <w:r>
              <w:rPr>
                <w:rFonts w:ascii="Arial" w:cs="Arial" w:eastAsia="Arial" w:hAnsi="Arial"/>
                <w:b/>
                <w:bCs/>
                <w:color w:val="2D2D2D"/>
                <w:sz w:val="19"/>
                <w:szCs w:val="19"/>
              </w:rPr>
              <w:t xml:space="preserve">Burnout detection + Recovery Mode</w:t>
            </w:r>
          </w:p>
        </w:tc>
        <w:tc>
          <w:tcPr>
            <w:tcW w:type="dxa" w:w="6160"/>
            <w:tcBorders>
              <w:top w:val="single" w:color="DDDDDD" w:sz="1"/>
              <w:left w:val="single" w:color="DDDDDD" w:sz="1"/>
              <w:bottom w:val="single" w:color="DDDDDD" w:sz="1"/>
              <w:right w:val="single" w:color="DDDDDD" w:sz="1"/>
            </w:tcBorders>
            <w:shd w:fill="E8F5EE" w:val="clear"/>
            <w:tcMar>
              <w:top w:type="dxa" w:w="70"/>
              <w:left w:type="dxa" w:w="120"/>
              <w:bottom w:type="dxa" w:w="70"/>
              <w:right w:type="dxa" w:w="120"/>
            </w:tcMar>
          </w:tcPr>
          <w:p>
            <w:r>
              <w:rPr>
                <w:rFonts w:ascii="Arial" w:cs="Arial" w:eastAsia="Arial" w:hAnsi="Arial"/>
                <w:color w:val="555555"/>
                <w:sz w:val="19"/>
                <w:szCs w:val="19"/>
              </w:rPr>
              <w:t xml:space="preserve">A user in burnout should never hit a paywall. Non-negotiable.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Condition safety filtering</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Recommending unsafe exercises to an unsubscribed user would cause harm.</w:t>
            </w:r>
          </w:p>
        </w:tc>
      </w:tr>
      <w:tr>
        <w:tc>
          <w:tcPr>
            <w:tcW w:type="dxa" w:w="3200"/>
            <w:tcBorders>
              <w:top w:val="single" w:color="DDDDDD" w:sz="1"/>
              <w:left w:val="single" w:color="DDDDDD" w:sz="1"/>
              <w:bottom w:val="single" w:color="DDDDDD" w:sz="1"/>
              <w:right w:val="single" w:color="DDDDDD" w:sz="1"/>
            </w:tcBorders>
            <w:shd w:fill="E8F5EE" w:val="clear"/>
            <w:tcMar>
              <w:top w:type="dxa" w:w="70"/>
              <w:left w:type="dxa" w:w="120"/>
              <w:bottom w:type="dxa" w:w="70"/>
              <w:right w:type="dxa" w:w="120"/>
            </w:tcMar>
          </w:tcPr>
          <w:p>
            <w:r>
              <w:rPr>
                <w:rFonts w:ascii="Arial" w:cs="Arial" w:eastAsia="Arial" w:hAnsi="Arial"/>
                <w:b/>
                <w:bCs/>
                <w:color w:val="2D2D2D"/>
                <w:sz w:val="19"/>
                <w:szCs w:val="19"/>
              </w:rPr>
              <w:t xml:space="preserve">Pain zone override (Gentle Care)</w:t>
            </w:r>
          </w:p>
        </w:tc>
        <w:tc>
          <w:tcPr>
            <w:tcW w:type="dxa" w:w="6160"/>
            <w:tcBorders>
              <w:top w:val="single" w:color="DDDDDD" w:sz="1"/>
              <w:left w:val="single" w:color="DDDDDD" w:sz="1"/>
              <w:bottom w:val="single" w:color="DDDDDD" w:sz="1"/>
              <w:right w:val="single" w:color="DDDDDD" w:sz="1"/>
            </w:tcBorders>
            <w:shd w:fill="E8F5EE" w:val="clear"/>
            <w:tcMar>
              <w:top w:type="dxa" w:w="70"/>
              <w:left w:type="dxa" w:w="120"/>
              <w:bottom w:type="dxa" w:w="70"/>
              <w:right w:type="dxa" w:w="120"/>
            </w:tcMar>
          </w:tcPr>
          <w:p>
            <w:r>
              <w:rPr>
                <w:rFonts w:ascii="Arial" w:cs="Arial" w:eastAsia="Arial" w:hAnsi="Arial"/>
                <w:color w:val="555555"/>
                <w:sz w:val="19"/>
                <w:szCs w:val="19"/>
              </w:rPr>
              <w:t xml:space="preserve">Same principle — safety-critical.</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Daily check-in (energy, mood, sleep, conditions)</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Core adaptive mechanism. Removing it breaks the product for free users.</w:t>
            </w:r>
          </w:p>
        </w:tc>
      </w:tr>
      <w:tr>
        <w:tc>
          <w:tcPr>
            <w:tcW w:type="dxa" w:w="3200"/>
            <w:tcBorders>
              <w:top w:val="single" w:color="DDDDDD" w:sz="1"/>
              <w:left w:val="single" w:color="DDDDDD" w:sz="1"/>
              <w:bottom w:val="single" w:color="DDDDDD" w:sz="1"/>
              <w:right w:val="single" w:color="DDDDDD" w:sz="1"/>
            </w:tcBorders>
            <w:shd w:fill="E8F5EE" w:val="clear"/>
            <w:tcMar>
              <w:top w:type="dxa" w:w="70"/>
              <w:left w:type="dxa" w:w="120"/>
              <w:bottom w:type="dxa" w:w="70"/>
              <w:right w:type="dxa" w:w="120"/>
            </w:tcMar>
          </w:tcPr>
          <w:p>
            <w:r>
              <w:rPr>
                <w:rFonts w:ascii="Arial" w:cs="Arial" w:eastAsia="Arial" w:hAnsi="Arial"/>
                <w:b/>
                <w:bCs/>
                <w:color w:val="2D2D2D"/>
                <w:sz w:val="19"/>
                <w:szCs w:val="19"/>
              </w:rPr>
              <w:t xml:space="preserve">availableTime in check-in</w:t>
            </w:r>
          </w:p>
        </w:tc>
        <w:tc>
          <w:tcPr>
            <w:tcW w:type="dxa" w:w="6160"/>
            <w:tcBorders>
              <w:top w:val="single" w:color="DDDDDD" w:sz="1"/>
              <w:left w:val="single" w:color="DDDDDD" w:sz="1"/>
              <w:bottom w:val="single" w:color="DDDDDD" w:sz="1"/>
              <w:right w:val="single" w:color="DDDDDD" w:sz="1"/>
            </w:tcBorders>
            <w:shd w:fill="E8F5EE" w:val="clear"/>
            <w:tcMar>
              <w:top w:type="dxa" w:w="70"/>
              <w:left w:type="dxa" w:w="120"/>
              <w:bottom w:type="dxa" w:w="70"/>
              <w:right w:type="dxa" w:w="120"/>
            </w:tcMar>
          </w:tcPr>
          <w:p>
            <w:r>
              <w:rPr>
                <w:rFonts w:ascii="Arial" w:cs="Arial" w:eastAsia="Arial" w:hAnsi="Arial"/>
                <w:color w:val="555555"/>
                <w:sz w:val="19"/>
                <w:szCs w:val="19"/>
              </w:rPr>
              <w:t xml:space="preserve">Protects low-energy users. Removing it disadvantages the most vulnerable.</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Exercise exit routes (mild pain)</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Safety-adjacent. Inline alternatives prevent users pushing through pain.</w:t>
            </w:r>
          </w:p>
        </w:tc>
      </w:tr>
      <w:tr>
        <w:tc>
          <w:tcPr>
            <w:tcW w:type="dxa" w:w="3200"/>
            <w:tcBorders>
              <w:top w:val="single" w:color="DDDDDD" w:sz="1"/>
              <w:left w:val="single" w:color="DDDDDD" w:sz="1"/>
              <w:bottom w:val="single" w:color="DDDDDD" w:sz="1"/>
              <w:right w:val="single" w:color="DDDDDD" w:sz="1"/>
            </w:tcBorders>
            <w:shd w:fill="E8F5EE" w:val="clear"/>
            <w:tcMar>
              <w:top w:type="dxa" w:w="70"/>
              <w:left w:type="dxa" w:w="120"/>
              <w:bottom w:type="dxa" w:w="70"/>
              <w:right w:type="dxa" w:w="120"/>
            </w:tcMar>
          </w:tcPr>
          <w:p>
            <w:r>
              <w:rPr>
                <w:rFonts w:ascii="Arial" w:cs="Arial" w:eastAsia="Arial" w:hAnsi="Arial"/>
                <w:b/>
                <w:bCs/>
                <w:color w:val="2D2D2D"/>
                <w:sz w:val="19"/>
                <w:szCs w:val="19"/>
              </w:rPr>
              <w:t xml:space="preserve">Basic progress view (7-day)</w:t>
            </w:r>
          </w:p>
        </w:tc>
        <w:tc>
          <w:tcPr>
            <w:tcW w:type="dxa" w:w="6160"/>
            <w:tcBorders>
              <w:top w:val="single" w:color="DDDDDD" w:sz="1"/>
              <w:left w:val="single" w:color="DDDDDD" w:sz="1"/>
              <w:bottom w:val="single" w:color="DDDDDD" w:sz="1"/>
              <w:right w:val="single" w:color="DDDDDD" w:sz="1"/>
            </w:tcBorders>
            <w:shd w:fill="E8F5EE" w:val="clear"/>
            <w:tcMar>
              <w:top w:type="dxa" w:w="70"/>
              <w:left w:type="dxa" w:w="120"/>
              <w:bottom w:type="dxa" w:w="70"/>
              <w:right w:type="dxa" w:w="120"/>
            </w:tcMar>
          </w:tcPr>
          <w:p>
            <w:r>
              <w:rPr>
                <w:rFonts w:ascii="Arial" w:cs="Arial" w:eastAsia="Arial" w:hAnsi="Arial"/>
                <w:color w:val="555555"/>
                <w:sz w:val="19"/>
                <w:szCs w:val="19"/>
              </w:rPr>
              <w:t xml:space="preserve">Minimum meaningful feedback. Users need to see they are showing up.</w:t>
            </w:r>
          </w:p>
        </w:tc>
      </w:tr>
      <w:tr>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Prescribed exercises Level 1 (display)</w:t>
            </w:r>
          </w:p>
        </w:tc>
        <w:tc>
          <w:tcPr>
            <w:tcW w:type="dxa" w:w="6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Physio compliance is a health issue, not a premium feature.</w:t>
            </w:r>
          </w:p>
        </w:tc>
      </w:tr>
    </w:tbl>
    <w:p>
      <w:pPr>
        <w:spacing w:after="0" w:before="200"/>
      </w:pPr>
    </w:p>
    <w:p>
      <w:pPr>
        <w:pStyle w:val="Heading1"/>
        <w:spacing w:after="120" w:before="400"/>
      </w:pPr>
      <w:r>
        <w:rPr>
          <w:rFonts w:ascii="Arial" w:cs="Arial" w:eastAsia="Arial" w:hAnsi="Arial"/>
          <w:b/>
          <w:bCs/>
          <w:color w:val="0D7377"/>
          <w:sz w:val="28"/>
          <w:szCs w:val="28"/>
        </w:rPr>
        <w:t xml:space="preserve">3. Full Feature Comparison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left"/>
            </w:pPr>
            <w:r>
              <w:rPr>
                <w:rFonts w:ascii="Arial" w:cs="Arial" w:eastAsia="Arial" w:hAnsi="Arial"/>
                <w:b/>
                <w:bCs/>
                <w:color w:val="FFFFFF"/>
                <w:sz w:val="20"/>
                <w:szCs w:val="20"/>
              </w:rPr>
              <w:t xml:space="preserve">Feature</w:t>
            </w:r>
          </w:p>
        </w:tc>
        <w:tc>
          <w:tcPr>
            <w:tcW w:type="dxa" w:w="258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Free</w:t>
            </w:r>
          </w:p>
        </w:tc>
        <w:tc>
          <w:tcPr>
            <w:tcW w:type="dxa" w:w="258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Personal</w:t>
            </w:r>
          </w:p>
        </w:tc>
      </w:tr>
      <w:tr>
        <w:tc>
          <w:tcPr>
            <w:tcW w:type="dxa" w:w="9360"/>
            <w:gridSpan w:val="3"/>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  COACHING &amp; CHECK-IN</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Daily check-in (energy, mood, sleep, conditions)</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availableTime picker in check-in</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Weight log (weekly optional prompt)</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Coach voice — Steady</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Coach personality variants (Energetic, Minimal, Nurturing)</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Menstrual cycle adaptation</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9360"/>
            <w:gridSpan w:val="3"/>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  WORKOUTS &amp; PROGRAMMES</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Daily adaptive workout generation</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Burnout detection + Recovery Mode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Condition safety filtering + pain zone override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Exercise exit routes (mild pain alternatives)</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Active minutes + effort level per session</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1 starter programme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Unlimited programmes (full library)</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Prescribed exercises — Level 1 (display)</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Prescribed exercises — Level 2+ (generator-aware)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9360"/>
            <w:gridSpan w:val="3"/>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  PROGRESS &amp; ANALYTICS</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Basic progress view (7-day)</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Session history (30 days)</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1A7A4A"/>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Progress analytics — 30 / 90-day trends</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History beyond 30 days</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Calorie estimates (range, labelled, in session history)</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Coach insights — weight / mood / energy correlations</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Data export</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r>
        <w:tc>
          <w:tcPr>
            <w:tcW w:type="dxa" w:w="9360"/>
            <w:gridSpan w:val="3"/>
            <w:tcBorders>
              <w:top w:val="single" w:color="DDDDDD" w:sz="1"/>
              <w:left w:val="single" w:color="DDDDDD" w:sz="1"/>
              <w:bottom w:val="single" w:color="DDDDDD" w:sz="1"/>
              <w:right w:val="single" w:color="DDDDDD" w:sz="1"/>
            </w:tcBorders>
            <w:shd w:fill="2D2D2D" w:val="clear"/>
            <w:tcMar>
              <w:top w:type="dxa" w:w="70"/>
              <w:left w:type="dxa" w:w="120"/>
              <w:bottom w:type="dxa" w:w="70"/>
              <w:right w:type="dxa" w:w="120"/>
            </w:tcMar>
          </w:tcPr>
          <w:p>
            <w:r>
              <w:rPr>
                <w:rFonts w:ascii="Arial" w:cs="Arial" w:eastAsia="Arial" w:hAnsi="Arial"/>
                <w:b/>
                <w:bCs/>
                <w:color w:val="FFFFFF"/>
                <w:sz w:val="18"/>
                <w:szCs w:val="18"/>
              </w:rPr>
              <w:t xml:space="preserve">  PLANNING</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Schedule intelligence — Plan your week</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color w:val="888888"/>
                <w:sz w:val="19"/>
                <w:szCs w:val="19"/>
              </w:rPr>
              <w:t xml:space="preserve">—</w:t>
            </w:r>
          </w:p>
        </w:tc>
        <w:tc>
          <w:tcPr>
            <w:tcW w:type="dxa" w:w="25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jc w:val="center"/>
            </w:pPr>
            <w:r>
              <w:rPr>
                <w:rFonts w:ascii="Arial" w:cs="Arial" w:eastAsia="Arial" w:hAnsi="Arial"/>
                <w:b/>
                <w:bCs/>
                <w:color w:val="1A7A4A"/>
                <w:sz w:val="19"/>
                <w:szCs w:val="19"/>
              </w:rPr>
              <w:t xml:space="preserve">✓</w:t>
            </w:r>
          </w:p>
        </w:tc>
      </w:tr>
    </w:tbl>
    <w:p>
      <w:pPr>
        <w:spacing w:after="0" w:before="200"/>
      </w:pPr>
    </w:p>
    <w:p>
      <w:pPr>
        <w:pStyle w:val="Heading1"/>
        <w:spacing w:after="120" w:before="400"/>
      </w:pPr>
      <w:r>
        <w:rPr>
          <w:rFonts w:ascii="Arial" w:cs="Arial" w:eastAsia="Arial" w:hAnsi="Arial"/>
          <w:b/>
          <w:bCs/>
          <w:color w:val="0D7377"/>
          <w:sz w:val="28"/>
          <w:szCs w:val="28"/>
        </w:rPr>
        <w:t xml:space="preserve">4. Calorie Estimates — Implementation Spec</w:t>
      </w:r>
    </w:p>
    <w:p>
      <w:pPr>
        <w:spacing w:after="80" w:before="60"/>
      </w:pPr>
      <w:r>
        <w:rPr>
          <w:rFonts w:ascii="Arial" w:cs="Arial" w:eastAsia="Arial" w:hAnsi="Arial"/>
          <w:color w:val="2D2D2D"/>
          <w:sz w:val="20"/>
          <w:szCs w:val="20"/>
        </w:rPr>
        <w:t xml:space="preserve">Calorie estimates are a Personal-tier feature. They are never shown to free users. Active minutes and effort level remain the primary session metrics for all users.</w:t>
      </w:r>
    </w:p>
    <w:p>
      <w:pPr>
        <w:spacing w:after="0" w:before="120"/>
      </w:pPr>
    </w:p>
    <w:p>
      <w:pPr>
        <w:pStyle w:val="Heading2"/>
        <w:spacing w:after="100" w:before="280"/>
      </w:pPr>
      <w:r>
        <w:rPr>
          <w:rFonts w:ascii="Arial" w:cs="Arial" w:eastAsia="Arial" w:hAnsi="Arial"/>
          <w:b/>
          <w:bCs/>
          <w:color w:val="2D2D2D"/>
          <w:sz w:val="23"/>
          <w:szCs w:val="23"/>
        </w:rPr>
        <w:t xml:space="preserve">Data Collection</w:t>
      </w:r>
    </w:p>
    <w:p>
      <w:pPr>
        <w:spacing w:after="80" w:before="60"/>
      </w:pPr>
      <w:r>
        <w:rPr>
          <w:rFonts w:ascii="Arial" w:cs="Arial" w:eastAsia="Arial" w:hAnsi="Arial"/>
          <w:color w:val="2D2D2D"/>
          <w:sz w:val="20"/>
          <w:szCs w:val="20"/>
        </w:rPr>
        <w:t xml:space="preserve">Weight, height, date of birth, and biological sex are collected during standard onboarding for all users. This data sits in the user profile and is used for calorie estimates if and when the user is on the Personal tier. Free users are not prompted twice — the data is simply unused until upgrade.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vAlign w:val="center"/>
          </w:tcPr>
          <w:p>
            <w:pPr>
              <w:jc w:val="center"/>
            </w:pPr>
            <w:r>
              <w:rPr>
                <w:rFonts w:ascii="Arial" w:cs="Arial" w:eastAsia="Arial" w:hAnsi="Arial"/>
                <w:b/>
                <w:bCs/>
                <w:color w:val="0D7377"/>
                <w:sz w:val="18"/>
                <w:szCs w:val="18"/>
              </w:rPr>
              <w:t xml:space="preserve">WHY COLLECT FOR ALL</w:t>
            </w:r>
          </w:p>
        </w:tc>
        <w:tc>
          <w:tcPr>
            <w:tcW w:type="dxa" w:w="7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Collecting profile data in onboarding avoids a disruptive second data-collection step on upgrade. The data serves other future uses (BMI context, age-appropriate recommendations). It is stored locally, never uploaded without consent.</w:t>
            </w:r>
          </w:p>
        </w:tc>
      </w:tr>
    </w:tbl>
    <w:p>
      <w:pPr>
        <w:spacing w:after="0" w:before="120"/>
      </w:pPr>
    </w:p>
    <w:p>
      <w:pPr>
        <w:pStyle w:val="Heading2"/>
        <w:spacing w:after="100" w:before="280"/>
      </w:pPr>
      <w:r>
        <w:rPr>
          <w:rFonts w:ascii="Arial" w:cs="Arial" w:eastAsia="Arial" w:hAnsi="Arial"/>
          <w:b/>
          <w:bCs/>
          <w:color w:val="2D2D2D"/>
          <w:sz w:val="23"/>
          <w:szCs w:val="23"/>
        </w:rPr>
        <w:t xml:space="preserve">Formula</w:t>
      </w:r>
    </w:p>
    <w:p>
      <w:pPr>
        <w:spacing w:after="80" w:before="60"/>
      </w:pPr>
      <w:r>
        <w:rPr>
          <w:rFonts w:ascii="Arial" w:cs="Arial" w:eastAsia="Arial" w:hAnsi="Arial"/>
          <w:color w:val="2D2D2D"/>
          <w:sz w:val="20"/>
          <w:szCs w:val="20"/>
        </w:rPr>
        <w:t xml:space="preserve">MET (Metabolic Equivalent of Task) × weight in kg × duration in hours. MET value varies by focus type and effort level:</w:t>
      </w:r>
    </w:p>
    <w:p>
      <w:pPr>
        <w:spacing w:after="0" w:before="60"/>
      </w:pPr>
    </w:p>
    <w:p>
      <w:pPr>
        <w:spacing w:after="40" w:before="40"/>
        <w:ind w:left="360"/>
      </w:pPr>
      <w:r>
        <w:rPr>
          <w:rFonts w:ascii="Courier New" w:cs="Courier New" w:eastAsia="Courier New" w:hAnsi="Courier New"/>
          <w:color w:val="005555"/>
          <w:sz w:val="18"/>
          <w:szCs w:val="18"/>
        </w:rPr>
        <w:t xml:space="preserve">Gentle effort   — MET 3.0–4.0  (e.g. mobility, recovery, mild strength)</w:t>
      </w:r>
    </w:p>
    <w:p>
      <w:pPr>
        <w:spacing w:after="40" w:before="40"/>
        <w:ind w:left="360"/>
      </w:pPr>
      <w:r>
        <w:rPr>
          <w:rFonts w:ascii="Courier New" w:cs="Courier New" w:eastAsia="Courier New" w:hAnsi="Courier New"/>
          <w:color w:val="005555"/>
          <w:sz w:val="18"/>
          <w:szCs w:val="18"/>
        </w:rPr>
        <w:t xml:space="preserve">Moderate effort — MET 4.0–5.5  (e.g. standard strength, yoga)</w:t>
      </w:r>
    </w:p>
    <w:p>
      <w:pPr>
        <w:spacing w:after="40" w:before="40"/>
        <w:ind w:left="360"/>
      </w:pPr>
      <w:r>
        <w:rPr>
          <w:rFonts w:ascii="Courier New" w:cs="Courier New" w:eastAsia="Courier New" w:hAnsi="Courier New"/>
          <w:color w:val="005555"/>
          <w:sz w:val="18"/>
          <w:szCs w:val="18"/>
        </w:rPr>
        <w:t xml:space="preserve">Strong effort   — MET 5.5–7.0  (e.g. cardio, HIIT, challenging strength)</w:t>
      </w:r>
    </w:p>
    <w:p>
      <w:pPr>
        <w:spacing w:after="0" w:before="80"/>
      </w:pPr>
    </w:p>
    <w:p>
      <w:pPr>
        <w:spacing w:after="80" w:before="60"/>
      </w:pPr>
      <w:r>
        <w:rPr>
          <w:rFonts w:ascii="Arial" w:cs="Arial" w:eastAsia="Arial" w:hAnsi="Arial"/>
          <w:color w:val="2D2D2D"/>
          <w:sz w:val="20"/>
          <w:szCs w:val="20"/>
        </w:rPr>
        <w:t xml:space="preserve">A range is calculated using the low and high MET values for the effort band, producing a min–max calorie estimate rather than a single potentially-misleading number.</w:t>
      </w:r>
    </w:p>
    <w:p>
      <w:pPr>
        <w:spacing w:after="0" w:before="120"/>
      </w:pPr>
    </w:p>
    <w:p>
      <w:pPr>
        <w:pStyle w:val="Heading2"/>
        <w:spacing w:after="100" w:before="280"/>
      </w:pPr>
      <w:r>
        <w:rPr>
          <w:rFonts w:ascii="Arial" w:cs="Arial" w:eastAsia="Arial" w:hAnsi="Arial"/>
          <w:b/>
          <w:bCs/>
          <w:color w:val="2D2D2D"/>
          <w:sz w:val="23"/>
          <w:szCs w:val="23"/>
        </w:rPr>
        <w:t xml:space="preserve">Display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vAlign w:val="center"/>
          </w:tcPr>
          <w:p>
            <w:pPr>
              <w:jc w:val="center"/>
            </w:pPr>
            <w:r>
              <w:rPr>
                <w:rFonts w:ascii="Arial" w:cs="Arial" w:eastAsia="Arial" w:hAnsi="Arial"/>
                <w:b/>
                <w:bCs/>
                <w:color w:val="0D7377"/>
                <w:sz w:val="18"/>
                <w:szCs w:val="18"/>
              </w:rPr>
              <w:t xml:space="preserve">UI EXAMPLE</w:t>
            </w:r>
          </w:p>
        </w:tc>
        <w:tc>
          <w:tcPr>
            <w:tcW w:type="dxa" w:w="7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Estimated 180–240 kcal  —  This is an estimate based on your profile and session length. Everyone burns differently.</w:t>
            </w:r>
          </w:p>
        </w:tc>
      </w:tr>
    </w:tbl>
    <w:p>
      <w:pPr>
        <w:spacing w:after="0" w:before="80"/>
      </w:pPr>
    </w:p>
    <w:p>
      <w:pPr>
        <w:spacing w:after="80" w:before="60"/>
      </w:pPr>
      <w:r>
        <w:rPr>
          <w:rFonts w:ascii="Arial" w:cs="Arial" w:eastAsia="Arial" w:hAnsi="Arial"/>
          <w:color w:val="2D2D2D"/>
          <w:sz w:val="20"/>
          <w:szCs w:val="20"/>
        </w:rPr>
        <w:t xml:space="preserve">Location: progress view / session history only. Not on the workout complete screen.</w:t>
      </w:r>
    </w:p>
    <w:p>
      <w:pPr>
        <w:spacing w:after="80" w:before="60"/>
      </w:pPr>
      <w:r>
        <w:rPr>
          <w:rFonts w:ascii="Arial" w:cs="Arial" w:eastAsia="Arial" w:hAnsi="Arial"/>
          <w:color w:val="2D2D2D"/>
          <w:sz w:val="20"/>
          <w:szCs w:val="20"/>
        </w:rPr>
        <w:t xml:space="preserve">The caveat line always appears alongside the range. It is never omitted.</w:t>
      </w:r>
    </w:p>
    <w:p>
      <w:pPr>
        <w:spacing w:after="80" w:before="60"/>
      </w:pPr>
      <w:r>
        <w:rPr>
          <w:rFonts w:ascii="Arial" w:cs="Arial" w:eastAsia="Arial" w:hAnsi="Arial"/>
          <w:color w:val="2D2D2D"/>
          <w:sz w:val="20"/>
          <w:szCs w:val="20"/>
        </w:rPr>
        <w:t xml:space="preserve">For users with conditions or medications that affect metabolism, a coach note may accompany the estimate: "Certain conditions and medications affect how your body uses energy — your actual burn may differ."</w:t>
      </w:r>
    </w:p>
    <w:p>
      <w:pPr>
        <w:spacing w:after="0" w:before="200"/>
      </w:pPr>
    </w:p>
    <w:p>
      <w:pPr>
        <w:pStyle w:val="Heading1"/>
        <w:spacing w:after="120" w:before="400"/>
      </w:pPr>
      <w:r>
        <w:rPr>
          <w:rFonts w:ascii="Arial" w:cs="Arial" w:eastAsia="Arial" w:hAnsi="Arial"/>
          <w:b/>
          <w:bCs/>
          <w:color w:val="0D7377"/>
          <w:sz w:val="28"/>
          <w:szCs w:val="28"/>
        </w:rPr>
        <w:t xml:space="preserve">5. Weight Tracking — Spec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2D2D2D"/>
                <w:sz w:val="19"/>
                <w:szCs w:val="19"/>
              </w:rPr>
              <w:t xml:space="preserve">Prompt frequency</w:t>
            </w:r>
          </w:p>
        </w:tc>
        <w:tc>
          <w:tcPr>
            <w:tcW w:type="dxa" w:w="65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Weekly optional prompt within check-in. User can permanently dismiss.</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D2D2D"/>
                <w:sz w:val="19"/>
                <w:szCs w:val="19"/>
              </w:rPr>
              <w:t xml:space="preserve">Free tier</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Input and raw number shown. Weekly average displayed. No trend analysis.</w:t>
            </w:r>
          </w:p>
        </w:tc>
      </w:tr>
      <w:tr>
        <w:tc>
          <w:tcPr>
            <w:tcW w:type="dxa" w:w="28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2D2D2D"/>
                <w:sz w:val="19"/>
                <w:szCs w:val="19"/>
              </w:rPr>
              <w:t xml:space="preserve">Personal tier</w:t>
            </w:r>
          </w:p>
        </w:tc>
        <w:tc>
          <w:tcPr>
            <w:tcW w:type="dxa" w:w="65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Trend line (4-week smoothed). Correlation insights from coach. Progress toward target weight if set.</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D2D2D"/>
                <w:sz w:val="19"/>
                <w:szCs w:val="19"/>
              </w:rPr>
              <w:t xml:space="preserve">Display philosophy</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Weekly averages only — never daily. Always contextualised: "Weight fluctuates 1–2 kg daily — this is normal." Not prominent. One metric among many.</w:t>
            </w:r>
          </w:p>
        </w:tc>
      </w:tr>
      <w:tr>
        <w:tc>
          <w:tcPr>
            <w:tcW w:type="dxa" w:w="28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2D2D2D"/>
                <w:sz w:val="19"/>
                <w:szCs w:val="19"/>
              </w:rPr>
              <w:t xml:space="preserve">Target weight</w:t>
            </w:r>
          </w:p>
        </w:tc>
        <w:tc>
          <w:tcPr>
            <w:tcW w:type="dxa" w:w="65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Set during onboarding goal setup if goal is weight-related. Shown as a soft horizon, not a deadline.</w:t>
            </w:r>
          </w:p>
        </w:tc>
      </w:tr>
      <w:tr>
        <w:tc>
          <w:tcPr>
            <w:tcW w:type="dxa" w:w="28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D2D2D"/>
                <w:sz w:val="19"/>
                <w:szCs w:val="19"/>
              </w:rPr>
              <w:t xml:space="preserve">Shame-free rule</w:t>
            </w:r>
          </w:p>
        </w:tc>
        <w:tc>
          <w:tcPr>
            <w:tcW w:type="dxa" w:w="6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No red indicators, no “you gained” framing, no comparison to previous weigh-in as a negative. Trend shown as movement over time, not as pass/fail.</w:t>
            </w:r>
          </w:p>
        </w:tc>
      </w:tr>
    </w:tbl>
    <w:p>
      <w:pPr>
        <w:spacing w:after="0" w:before="200"/>
      </w:pPr>
    </w:p>
    <w:p>
      <w:pPr>
        <w:pStyle w:val="Heading1"/>
        <w:spacing w:after="120" w:before="400"/>
      </w:pPr>
      <w:r>
        <w:rPr>
          <w:rFonts w:ascii="Arial" w:cs="Arial" w:eastAsia="Arial" w:hAnsi="Arial"/>
          <w:b/>
          <w:bCs/>
          <w:color w:val="0D7377"/>
          <w:sz w:val="28"/>
          <w:szCs w:val="28"/>
        </w:rPr>
        <w:t xml:space="preserve">6. In-App Membership Page — Spec</w:t>
      </w:r>
    </w:p>
    <w:p>
      <w:pPr>
        <w:spacing w:after="80" w:before="60"/>
      </w:pPr>
      <w:r>
        <w:rPr>
          <w:rFonts w:ascii="Arial" w:cs="Arial" w:eastAsia="Arial" w:hAnsi="Arial"/>
          <w:color w:val="2D2D2D"/>
          <w:sz w:val="20"/>
          <w:szCs w:val="20"/>
        </w:rPr>
        <w:t xml:space="preserve">A dedicated Membership section is accessible from the main navigation (fourth tab or prominent Settings entry). It serves three purposes: shows the user their current plan, communicates what Personal unlocks, and provides the upgrade path.</w:t>
      </w:r>
    </w:p>
    <w:p>
      <w:pPr>
        <w:spacing w:after="0" w:before="120"/>
      </w:pPr>
    </w:p>
    <w:p>
      <w:pPr>
        <w:pStyle w:val="Heading2"/>
        <w:spacing w:after="100" w:before="280"/>
      </w:pPr>
      <w:r>
        <w:rPr>
          <w:rFonts w:ascii="Arial" w:cs="Arial" w:eastAsia="Arial" w:hAnsi="Arial"/>
          <w:b/>
          <w:bCs/>
          <w:color w:val="2D2D2D"/>
          <w:sz w:val="23"/>
          <w:szCs w:val="23"/>
        </w:rPr>
        <w:t xml:space="preserve">Three States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2D2D2D"/>
                <w:sz w:val="19"/>
                <w:szCs w:val="19"/>
              </w:rPr>
              <w:t xml:space="preserve">Free user</w:t>
            </w:r>
          </w:p>
        </w:tc>
        <w:tc>
          <w:tcPr>
            <w:tcW w:type="dxa" w:w="69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Shows current plan. Lists Personal features with lock indicators. Upgrade CTA. Coach intro line: "When you’re ready, here’s what we can do together…"</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2D2D2D"/>
                <w:sz w:val="19"/>
                <w:szCs w:val="19"/>
              </w:rPr>
              <w:t xml:space="preserve">Personal subscriber</w:t>
            </w:r>
          </w:p>
        </w:tc>
        <w:tc>
          <w:tcPr>
            <w:tcW w:type="dxa" w:w="6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Shows plan, renewal date, manage/cancel links. Full feature list shown as active. No upsell messaging.</w:t>
            </w:r>
          </w:p>
        </w:tc>
      </w:tr>
      <w:tr>
        <w:tc>
          <w:tcPr>
            <w:tcW w:type="dxa" w:w="24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2D2D2D"/>
                <w:sz w:val="19"/>
                <w:szCs w:val="19"/>
              </w:rPr>
              <w:t xml:space="preserve">Founding Member</w:t>
            </w:r>
          </w:p>
        </w:tc>
        <w:tc>
          <w:tcPr>
            <w:tcW w:type="dxa" w:w="69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Distinctly styled card. Shows Founding Member status. “Lifetime Personal access — thank you for helping shape Alongside.” No upgrade CTA.</w:t>
            </w:r>
          </w:p>
        </w:tc>
      </w:tr>
    </w:tbl>
    <w:p>
      <w:pPr>
        <w:spacing w:after="0" w:before="200"/>
      </w:pPr>
    </w:p>
    <w:p>
      <w:pPr>
        <w:pStyle w:val="Heading1"/>
        <w:spacing w:after="120" w:before="400"/>
      </w:pPr>
      <w:r>
        <w:rPr>
          <w:rFonts w:ascii="Arial" w:cs="Arial" w:eastAsia="Arial" w:hAnsi="Arial"/>
          <w:b/>
          <w:bCs/>
          <w:color w:val="0D7377"/>
          <w:sz w:val="28"/>
          <w:szCs w:val="28"/>
        </w:rPr>
        <w:t xml:space="preserve">7. Premium Placeholder — Visual Design Pattern</w:t>
      </w:r>
    </w:p>
    <w:p>
      <w:pPr>
        <w:spacing w:after="80" w:before="60"/>
      </w:pPr>
      <w:r>
        <w:rPr>
          <w:rFonts w:ascii="Arial" w:cs="Arial" w:eastAsia="Arial" w:hAnsi="Arial"/>
          <w:color w:val="2D2D2D"/>
          <w:sz w:val="20"/>
          <w:szCs w:val="20"/>
        </w:rPr>
        <w:t xml:space="preserve">Every premium feature that is visible to free users follows this pattern consistently. The tone is inviting, not blocked. The message is “this is coming for you” not “you can’t have this.”</w:t>
      </w:r>
    </w:p>
    <w:p>
      <w:pPr>
        <w:spacing w:after="0" w:before="120"/>
      </w:pPr>
    </w:p>
    <w:p>
      <w:pPr>
        <w:pStyle w:val="Heading2"/>
        <w:spacing w:after="100" w:before="280"/>
      </w:pPr>
      <w:r>
        <w:rPr>
          <w:rFonts w:ascii="Arial" w:cs="Arial" w:eastAsia="Arial" w:hAnsi="Arial"/>
          <w:b/>
          <w:bCs/>
          <w:color w:val="2D2D2D"/>
          <w:sz w:val="23"/>
          <w:szCs w:val="23"/>
        </w:rPr>
        <w:t xml:space="preserve">The Pattern — Four Components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0D7377"/>
                <w:sz w:val="19"/>
                <w:szCs w:val="19"/>
              </w:rPr>
              <w:t xml:space="preserve">1. Opacity</w:t>
            </w:r>
          </w:p>
        </w:tc>
        <w:tc>
          <w:tcPr>
            <w:tcW w:type="dxa" w:w="71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The locked section or card renders at 50% opacity. Visible enough to understand what the feature is; clearly inactive. Never fully hidden.</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0D7377"/>
                <w:sz w:val="19"/>
                <w:szCs w:val="19"/>
              </w:rPr>
              <w:t xml:space="preserve">2. Badge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A small pill badge in the top-right corner of the card or section. Label: “Personal”. Brand teal background, white text, closed lock icon to the left of the label. Not a padlock-with-chain (punitive) — a simple closed lock (neutral, informational).</w:t>
            </w:r>
          </w:p>
        </w:tc>
      </w:tr>
      <w:tr>
        <w:tc>
          <w:tcPr>
            <w:tcW w:type="dxa" w:w="22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b/>
                <w:bCs/>
                <w:color w:val="0D7377"/>
                <w:sz w:val="19"/>
                <w:szCs w:val="19"/>
              </w:rPr>
              <w:t xml:space="preserve">3. Tap interaction</w:t>
            </w:r>
          </w:p>
        </w:tc>
        <w:tc>
          <w:tcPr>
            <w:tcW w:type="dxa" w:w="716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tcPr>
          <w:p>
            <w:r>
              <w:rPr>
                <w:rFonts w:ascii="Arial" w:cs="Arial" w:eastAsia="Arial" w:hAnsi="Arial"/>
                <w:color w:val="555555"/>
                <w:sz w:val="19"/>
                <w:szCs w:val="19"/>
              </w:rPr>
              <w:t xml:space="preserve">Tapping a locked feature triggers a bottom sheet or toast with one line of in-context explanation — e.g. “Calorie estimates are available on the Personal plan.” After 1.5 seconds (or on dismiss), navigates to the Membership page.</w:t>
            </w:r>
          </w:p>
        </w:tc>
      </w:tr>
      <w:tr>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0D7377"/>
                <w:sz w:val="19"/>
                <w:szCs w:val="19"/>
              </w:rPr>
              <w:t xml:space="preserve">4. No negative language</w:t>
            </w:r>
          </w:p>
        </w:tc>
        <w:tc>
          <w:tcPr>
            <w:tcW w:type="dxa" w:w="71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555555"/>
                <w:sz w:val="19"/>
                <w:szCs w:val="19"/>
              </w:rPr>
              <w:t xml:space="preserve">No red indicators, no crossed-out elements, no “UPGRADE NOW” aggressive CTAs anywhere in the pattern. Consistent with the no-shame design principles.</w:t>
            </w:r>
          </w:p>
        </w:tc>
      </w:tr>
    </w:tbl>
    <w:p>
      <w:pPr>
        <w:spacing w:after="0" w:before="120"/>
      </w:pPr>
    </w:p>
    <w:p>
      <w:pPr>
        <w:pStyle w:val="Heading2"/>
        <w:spacing w:after="100" w:before="280"/>
      </w:pPr>
      <w:r>
        <w:rPr>
          <w:rFonts w:ascii="Arial" w:cs="Arial" w:eastAsia="Arial" w:hAnsi="Arial"/>
          <w:b/>
          <w:bCs/>
          <w:color w:val="2D2D2D"/>
          <w:sz w:val="23"/>
          <w:szCs w:val="23"/>
        </w:rPr>
        <w:t xml:space="preserve">Badge Label Convention</w:t>
      </w:r>
    </w:p>
    <w:p>
      <w:pPr>
        <w:spacing w:after="80" w:before="60"/>
      </w:pPr>
      <w:r>
        <w:rPr>
          <w:rFonts w:ascii="Arial" w:cs="Arial" w:eastAsia="Arial" w:hAnsi="Arial"/>
          <w:color w:val="2D2D2D"/>
          <w:sz w:val="20"/>
          <w:szCs w:val="20"/>
        </w:rPr>
        <w:t xml:space="preserve">The badge reads “Personal” — the actual plan name, not the generic word “Premium”. This keeps naming consistent with the Membership page and subscription language. If pricing or naming changes in future, the badge label is a single constant to update.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8F4F4" w:val="clear"/>
            <w:tcMar>
              <w:top w:type="dxa" w:w="90"/>
              <w:left w:type="dxa" w:w="140"/>
              <w:bottom w:type="dxa" w:w="90"/>
              <w:right w:type="dxa" w:w="140"/>
            </w:tcMar>
            <w:vAlign w:val="center"/>
          </w:tcPr>
          <w:p>
            <w:pPr>
              <w:jc w:val="center"/>
            </w:pPr>
            <w:r>
              <w:rPr>
                <w:rFonts w:ascii="Arial" w:cs="Arial" w:eastAsia="Arial" w:hAnsi="Arial"/>
                <w:b/>
                <w:bCs/>
                <w:color w:val="0D7377"/>
                <w:sz w:val="18"/>
                <w:szCs w:val="18"/>
              </w:rPr>
              <w:t xml:space="preserve">EXAMPLE BADGE</w:t>
            </w:r>
          </w:p>
        </w:tc>
        <w:tc>
          <w:tcPr>
            <w:tcW w:type="dxa" w:w="7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  Personal     ← teal pill, white text, top-right of locked card. Tapping navigates to Membership page via bottom sheet explanation.</w:t>
            </w:r>
          </w:p>
        </w:tc>
      </w:tr>
    </w:tbl>
    <w:p>
      <w:pPr>
        <w:spacing w:after="0" w:before="120"/>
      </w:pPr>
    </w:p>
    <w:p>
      <w:pPr>
        <w:pStyle w:val="Heading2"/>
        <w:spacing w:after="100" w:before="280"/>
      </w:pPr>
      <w:r>
        <w:rPr>
          <w:rFonts w:ascii="Arial" w:cs="Arial" w:eastAsia="Arial" w:hAnsi="Arial"/>
          <w:b/>
          <w:bCs/>
          <w:color w:val="2D2D2D"/>
          <w:sz w:val="23"/>
          <w:szCs w:val="23"/>
        </w:rPr>
        <w:t xml:space="preserve">Where Placeholders Appear in Phase 3</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r>
              <w:rPr>
                <w:rFonts w:ascii="Arial" w:cs="Arial" w:eastAsia="Arial" w:hAnsi="Arial"/>
                <w:b/>
                <w:bCs/>
                <w:color w:val="FFFFFF"/>
                <w:sz w:val="19"/>
                <w:szCs w:val="19"/>
              </w:rPr>
              <w:t xml:space="preserve">Feature</w:t>
            </w:r>
          </w:p>
        </w:tc>
        <w:tc>
          <w:tcPr>
            <w:tcW w:type="dxa" w:w="576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r>
              <w:rPr>
                <w:rFonts w:ascii="Arial" w:cs="Arial" w:eastAsia="Arial" w:hAnsi="Arial"/>
                <w:b/>
                <w:bCs/>
                <w:color w:val="FFFFFF"/>
                <w:sz w:val="19"/>
                <w:szCs w:val="19"/>
              </w:rPr>
              <w:t xml:space="preserve">Where placeholder appears</w:t>
            </w:r>
          </w:p>
        </w:tc>
      </w:tr>
      <w:tr>
        <w:tc>
          <w:tcPr>
            <w:tcW w:type="dxa" w:w="3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Schedule intelligence — Plan your week</w:t>
            </w:r>
          </w:p>
        </w:tc>
        <w:tc>
          <w:tcPr>
            <w:tcW w:type="dxa" w:w="57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Settings view — greyed card with “Coming soon for members”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Coach personality variants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Settings view — coach style selector, non-Steady options locked</w:t>
            </w:r>
          </w:p>
        </w:tc>
      </w:tr>
      <w:tr>
        <w:tc>
          <w:tcPr>
            <w:tcW w:type="dxa" w:w="3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Progress analytics (30/90-day)</w:t>
            </w:r>
          </w:p>
        </w:tc>
        <w:tc>
          <w:tcPr>
            <w:tcW w:type="dxa" w:w="57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Progress view — beyond-7-day section visible but locked</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Calorie estimates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Session history — calorie row visible but locked</w:t>
            </w:r>
          </w:p>
        </w:tc>
      </w:tr>
      <w:tr>
        <w:tc>
          <w:tcPr>
            <w:tcW w:type="dxa" w:w="3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Coach insights (correlations)</w:t>
            </w:r>
          </w:p>
        </w:tc>
        <w:tc>
          <w:tcPr>
            <w:tcW w:type="dxa" w:w="57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Progress view — insight cards visible but locked</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Prescribed exercises Level 2+</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Today view prescribed section — “intelligent integration” locked</w:t>
            </w:r>
          </w:p>
        </w:tc>
      </w:tr>
      <w:tr>
        <w:tc>
          <w:tcPr>
            <w:tcW w:type="dxa" w:w="36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Menstrual cycle adaptation</w:t>
            </w:r>
          </w:p>
        </w:tc>
        <w:tc>
          <w:tcPr>
            <w:tcW w:type="dxa" w:w="57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Settings view — cycle tracking toggle locked</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Unlimited programmes</w:t>
            </w:r>
          </w:p>
        </w:tc>
        <w:tc>
          <w:tcPr>
            <w:tcW w:type="dxa" w:w="5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Programmes view — beyond-starter programmes locked</w:t>
            </w:r>
          </w:p>
        </w:tc>
      </w:tr>
    </w:tbl>
    <w:p>
      <w:pPr>
        <w:spacing w:after="0" w:before="200"/>
      </w:pPr>
    </w:p>
    <w:p>
      <w:pPr>
        <w:pStyle w:val="Heading1"/>
        <w:spacing w:after="120" w:before="400"/>
      </w:pPr>
      <w:r>
        <w:rPr>
          <w:rFonts w:ascii="Arial" w:cs="Arial" w:eastAsia="Arial" w:hAnsi="Arial"/>
          <w:b/>
          <w:bCs/>
          <w:color w:val="0D7377"/>
          <w:sz w:val="28"/>
          <w:szCs w:val="28"/>
        </w:rPr>
        <w:t xml:space="preserve">8. Technical Architecture — Subscription Enforcement &amp; Analytics</w:t>
      </w:r>
    </w:p>
    <w:p>
      <w:pPr>
        <w:spacing w:after="80" w:before="60"/>
      </w:pPr>
      <w:r>
        <w:rPr>
          <w:rFonts w:ascii="Arial" w:cs="Arial" w:eastAsia="Arial" w:hAnsi="Arial"/>
          <w:color w:val="2D2D2D"/>
          <w:sz w:val="20"/>
          <w:szCs w:val="20"/>
        </w:rPr>
        <w:t xml:space="preserve">GitHub Pages serves static files only — there is no server-side access control. Subscription enforcement must be handled carefully across build phases.</w:t>
      </w:r>
    </w:p>
    <w:p>
      <w:pPr>
        <w:spacing w:after="0" w:before="120"/>
      </w:pPr>
    </w:p>
    <w:p>
      <w:pPr>
        <w:pStyle w:val="Heading2"/>
        <w:spacing w:after="100" w:before="280"/>
      </w:pPr>
      <w:r>
        <w:rPr>
          <w:rFonts w:ascii="Arial" w:cs="Arial" w:eastAsia="Arial" w:hAnsi="Arial"/>
          <w:b/>
          <w:bCs/>
          <w:color w:val="2D2D2D"/>
          <w:sz w:val="23"/>
          <w:szCs w:val="23"/>
        </w:rPr>
        <w:t xml:space="preserve">Phase 3 Beta — Client-Side Token (Good Enough for Founding Members)</w:t>
      </w:r>
    </w:p>
    <w:p>
      <w:pPr>
        <w:spacing w:after="80" w:before="60"/>
      </w:pPr>
      <w:r>
        <w:rPr>
          <w:rFonts w:ascii="Arial" w:cs="Arial" w:eastAsia="Arial" w:hAnsi="Arial"/>
          <w:color w:val="2D2D2D"/>
          <w:sz w:val="20"/>
          <w:szCs w:val="20"/>
        </w:rPr>
        <w:t xml:space="preserve">When a user subscribes via Stripe, a webhook calls a lightweight Netlify Function or Cloudflare Worker (both free tier, no server to manage). This generates a signed JWT token stored in localStorage. On app load, the app checks for a valid unexpired token and sets userTier in the store.</w:t>
      </w:r>
    </w:p>
    <w:p>
      <w:pPr>
        <w:spacing w:after="0" w:before="60"/>
      </w:pPr>
    </w:p>
    <w:p>
      <w:pPr>
        <w:spacing w:after="40" w:before="40"/>
        <w:ind w:left="360"/>
      </w:pPr>
      <w:r>
        <w:rPr>
          <w:rFonts w:ascii="Courier New" w:cs="Courier New" w:eastAsia="Courier New" w:hAnsi="Courier New"/>
          <w:color w:val="005555"/>
          <w:sz w:val="18"/>
          <w:szCs w:val="18"/>
        </w:rPr>
        <w:t xml:space="preserve">store.set('userTier', 'personal')   // set on valid token</w:t>
      </w:r>
    </w:p>
    <w:p>
      <w:pPr>
        <w:spacing w:after="40" w:before="40"/>
        <w:ind w:left="360"/>
      </w:pPr>
      <w:r>
        <w:rPr>
          <w:rFonts w:ascii="Courier New" w:cs="Courier New" w:eastAsia="Courier New" w:hAnsi="Courier New"/>
          <w:color w:val="005555"/>
          <w:sz w:val="18"/>
          <w:szCs w:val="18"/>
        </w:rPr>
        <w:t xml:space="preserve">store.set('userTier', 'free')        // default / expired token</w:t>
      </w:r>
    </w:p>
    <w:p>
      <w:pPr>
        <w:spacing w:after="0" w:before="80"/>
      </w:pPr>
    </w:p>
    <w:p>
      <w:pPr>
        <w:spacing w:after="80" w:before="60"/>
      </w:pPr>
      <w:r>
        <w:rPr>
          <w:rFonts w:ascii="Arial" w:cs="Arial" w:eastAsia="Arial" w:hAnsi="Arial"/>
          <w:color w:val="2D2D2D"/>
          <w:sz w:val="20"/>
          <w:szCs w:val="20"/>
        </w:rPr>
        <w:t xml:space="preserve">Premium feature checks read this flag:</w:t>
      </w:r>
    </w:p>
    <w:p>
      <w:pPr>
        <w:spacing w:after="40" w:before="40"/>
        <w:ind w:left="360"/>
      </w:pPr>
      <w:r>
        <w:rPr>
          <w:rFonts w:ascii="Courier New" w:cs="Courier New" w:eastAsia="Courier New" w:hAnsi="Courier New"/>
          <w:color w:val="005555"/>
          <w:sz w:val="18"/>
          <w:szCs w:val="18"/>
        </w:rPr>
        <w:t xml:space="preserve">if (store.get('userTier') !== 'personal') { showLockedState(); return; }</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FF8E8" w:val="clear"/>
            <w:tcMar>
              <w:top w:type="dxa" w:w="90"/>
              <w:left w:type="dxa" w:w="140"/>
              <w:bottom w:type="dxa" w:w="90"/>
              <w:right w:type="dxa" w:w="140"/>
            </w:tcMar>
            <w:vAlign w:val="center"/>
          </w:tcPr>
          <w:p>
            <w:pPr>
              <w:jc w:val="center"/>
            </w:pPr>
            <w:r>
              <w:rPr>
                <w:rFonts w:ascii="Arial" w:cs="Arial" w:eastAsia="Arial" w:hAnsi="Arial"/>
                <w:b/>
                <w:bCs/>
                <w:color w:val="B8860B"/>
                <w:sz w:val="18"/>
                <w:szCs w:val="18"/>
              </w:rPr>
              <w:t xml:space="preserve">BETA CAVEAT</w:t>
            </w:r>
          </w:p>
        </w:tc>
        <w:tc>
          <w:tcPr>
            <w:tcW w:type="dxa" w:w="79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color w:val="2D2D2D"/>
                <w:sz w:val="19"/>
                <w:szCs w:val="19"/>
              </w:rPr>
              <w:t xml:space="preserve">A determined user could spoof this. Acceptable for a trusted Founding Member cohort of 10–50 people. Must be replaced before public launch.</w:t>
            </w:r>
          </w:p>
        </w:tc>
      </w:tr>
    </w:tbl>
    <w:p>
      <w:pPr>
        <w:spacing w:after="0" w:before="120"/>
      </w:pPr>
    </w:p>
    <w:p>
      <w:pPr>
        <w:pStyle w:val="Heading2"/>
        <w:spacing w:after="100" w:before="280"/>
      </w:pPr>
      <w:r>
        <w:rPr>
          <w:rFonts w:ascii="Arial" w:cs="Arial" w:eastAsia="Arial" w:hAnsi="Arial"/>
          <w:b/>
          <w:bCs/>
          <w:color w:val="2D2D2D"/>
          <w:sz w:val="23"/>
          <w:szCs w:val="23"/>
        </w:rPr>
        <w:t xml:space="preserve">Public Launch — Supabase (Recommended)</w:t>
      </w:r>
    </w:p>
    <w:p>
      <w:pPr>
        <w:spacing w:after="80" w:before="60"/>
      </w:pPr>
      <w:r>
        <w:rPr>
          <w:rFonts w:ascii="Arial" w:cs="Arial" w:eastAsia="Arial" w:hAnsi="Arial"/>
          <w:color w:val="2D2D2D"/>
          <w:sz w:val="20"/>
          <w:szCs w:val="20"/>
        </w:rPr>
        <w:t xml:space="preserve">Supabase provides a real database, authentication (email or magic link), and row-level security — all without managing a server. Stripe webhooks write subscription state to Supabase. The app calls the Supabase API on load to verify subscription status.</w:t>
      </w:r>
    </w:p>
    <w:p>
      <w:pPr>
        <w:spacing w:after="80" w:before="60"/>
      </w:pPr>
      <w:r>
        <w:rPr>
          <w:rFonts w:ascii="Arial" w:cs="Arial" w:eastAsia="Arial" w:hAnsi="Arial"/>
          <w:color w:val="2D2D2D"/>
          <w:sz w:val="20"/>
          <w:szCs w:val="20"/>
        </w:rPr>
        <w:t xml:space="preserve">The userTier store key and all in-app feature-gating code stays identical. Only the verification mechanism changes. Code written now does not need rewriting at launch.</w:t>
      </w:r>
    </w:p>
    <w:p>
      <w:pPr>
        <w:spacing w:after="0" w:before="120"/>
      </w:pPr>
    </w:p>
    <w:p>
      <w:pPr>
        <w:pStyle w:val="Heading2"/>
        <w:spacing w:after="100" w:before="280"/>
      </w:pPr>
      <w:r>
        <w:rPr>
          <w:rFonts w:ascii="Arial" w:cs="Arial" w:eastAsia="Arial" w:hAnsi="Arial"/>
          <w:b/>
          <w:bCs/>
          <w:color w:val="2D2D2D"/>
          <w:sz w:val="23"/>
          <w:szCs w:val="23"/>
        </w:rPr>
        <w:t xml:space="preserve">Analytics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r>
              <w:rPr>
                <w:rFonts w:ascii="Arial" w:cs="Arial" w:eastAsia="Arial" w:hAnsi="Arial"/>
                <w:b/>
                <w:bCs/>
                <w:color w:val="FFFFFF"/>
                <w:sz w:val="19"/>
                <w:szCs w:val="19"/>
              </w:rPr>
              <w:t xml:space="preserve">Tool</w:t>
            </w:r>
          </w:p>
        </w:tc>
        <w:tc>
          <w:tcPr>
            <w:tcW w:type="dxa" w:w="240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r>
              <w:rPr>
                <w:rFonts w:ascii="Arial" w:cs="Arial" w:eastAsia="Arial" w:hAnsi="Arial"/>
                <w:b/>
                <w:bCs/>
                <w:color w:val="FFFFFF"/>
                <w:sz w:val="19"/>
                <w:szCs w:val="19"/>
              </w:rPr>
              <w:t xml:space="preserve">Purpose</w:t>
            </w:r>
          </w:p>
        </w:tc>
        <w:tc>
          <w:tcPr>
            <w:tcW w:type="dxa" w:w="4560"/>
            <w:tcBorders>
              <w:top w:val="single" w:color="DDDDDD" w:sz="1"/>
              <w:left w:val="single" w:color="DDDDDD" w:sz="1"/>
              <w:bottom w:val="single" w:color="DDDDDD" w:sz="1"/>
              <w:right w:val="single" w:color="DDDDDD" w:sz="1"/>
            </w:tcBorders>
            <w:shd w:fill="0D7377" w:val="clear"/>
            <w:tcMar>
              <w:top w:type="dxa" w:w="70"/>
              <w:left w:type="dxa" w:w="120"/>
              <w:bottom w:type="dxa" w:w="70"/>
              <w:right w:type="dxa" w:w="120"/>
            </w:tcMar>
          </w:tcPr>
          <w:p>
            <w:r>
              <w:rPr>
                <w:rFonts w:ascii="Arial" w:cs="Arial" w:eastAsia="Arial" w:hAnsi="Arial"/>
                <w:b/>
                <w:bCs/>
                <w:color w:val="FFFFFF"/>
                <w:sz w:val="19"/>
                <w:szCs w:val="19"/>
              </w:rPr>
              <w:t xml:space="preserve">Notes</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Plausible Analytics</w:t>
            </w:r>
          </w:p>
        </w:tc>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Unique users, sessions, referrals</w:t>
            </w:r>
          </w:p>
        </w:tc>
        <w:tc>
          <w:tcPr>
            <w:tcW w:type="dxa" w:w="45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Privacy-respecting, GDPR-compliant, cookie-free. £9/month. Single script tag in index.html. Add in Phase 3.</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Sentry</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JavaScript error tracking</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Free tier. Catches production errors with exact file + line. Single script tag. Add in Phase 3. Essential before real users.</w:t>
            </w:r>
          </w:p>
        </w:tc>
      </w:tr>
      <w:tr>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b/>
                <w:bCs/>
                <w:color w:val="2D2D2D"/>
                <w:sz w:val="19"/>
                <w:szCs w:val="19"/>
              </w:rPr>
              <w:t xml:space="preserve">progressLog (store)</w:t>
            </w:r>
          </w:p>
        </w:tc>
        <w:tc>
          <w:tcPr>
            <w:tcW w:type="dxa" w:w="240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2D2D2D"/>
                <w:sz w:val="19"/>
                <w:szCs w:val="19"/>
              </w:rPr>
              <w:t xml:space="preserve">Session behaviour</w:t>
            </w:r>
          </w:p>
        </w:tc>
        <w:tc>
          <w:tcPr>
            <w:tcW w:type="dxa" w:w="4560"/>
            <w:tcBorders>
              <w:top w:val="single" w:color="DDDDDD" w:sz="1"/>
              <w:left w:val="single" w:color="DDDDDD" w:sz="1"/>
              <w:bottom w:val="single" w:color="DDDDDD" w:sz="1"/>
              <w:right w:val="single" w:color="DDDDDD" w:sz="1"/>
            </w:tcBorders>
            <w:shd w:fill="E8F4F4" w:val="clear"/>
            <w:tcMar>
              <w:top w:type="dxa" w:w="70"/>
              <w:left w:type="dxa" w:w="120"/>
              <w:bottom w:type="dxa" w:w="70"/>
              <w:right w:type="dxa" w:w="120"/>
            </w:tcMar>
          </w:tcPr>
          <w:p>
            <w:r>
              <w:rPr>
                <w:rFonts w:ascii="Arial" w:cs="Arial" w:eastAsia="Arial" w:hAnsi="Arial"/>
                <w:color w:val="555555"/>
                <w:sz w:val="19"/>
                <w:szCs w:val="19"/>
              </w:rPr>
              <w:t xml:space="preserve">Already built. Sync anonymised session records to Supabase at public launch for behavioural analytics. No personal data.</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2D2D2D"/>
                <w:sz w:val="19"/>
                <w:szCs w:val="19"/>
              </w:rPr>
              <w:t xml:space="preserve">Supabase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Subscription + user state</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Add at public launch. Handles auth, subscription verification, and data sync. Free tier covers early growth.</w:t>
            </w:r>
          </w:p>
        </w:tc>
      </w:tr>
    </w:tbl>
    <w:p>
      <w:pPr>
        <w:spacing w:after="0" w:before="200"/>
      </w:pPr>
    </w:p>
    <w:p>
      <w:pPr>
        <w:pBdr>
          <w:bottom w:val="single" w:color="EEEEEE" w:sz="3" w:space="1"/>
        </w:pBdr>
        <w:spacing w:after="200" w:before="200"/>
      </w:pPr>
    </w:p>
    <w:p>
      <w:pPr>
        <w:spacing w:after="0" w:before="120"/>
        <w:jc w:val="center"/>
      </w:pPr>
      <w:r>
        <w:rPr>
          <w:rFonts w:ascii="Arial" w:cs="Arial" w:eastAsia="Arial" w:hAnsi="Arial"/>
          <w:color w:val="AAAAAA"/>
          <w:sz w:val="18"/>
          <w:szCs w:val="18"/>
        </w:rPr>
        <w:t xml:space="preserve">Alongside • Build New Habits • build-new-habits.github.io/alongside-app/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7"/>
        <w:szCs w:val="17"/>
      </w:rPr>
      <w:t xml:space="preserve">Alongside — Freemium &amp; Premium Decisions — 8 March 2026  |  Page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D2D2D"/>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D7377"/>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D2D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2026-03-08T09:49:57.559Z</dcterms:created>
  <dcterms:modified xsi:type="dcterms:W3CDTF">2026-03-08T09:49:57.560Z</dcterms:modified>
</cp:coreProperties>
</file>

<file path=docProps/custom.xml><?xml version="1.0" encoding="utf-8"?>
<Properties xmlns="http://schemas.openxmlformats.org/officeDocument/2006/custom-properties" xmlns:vt="http://schemas.openxmlformats.org/officeDocument/2006/docPropsVTypes"/>
</file>