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36"/>
          <w:szCs w:val="36"/>
        </w:rPr>
        <w:t xml:space="preserve">Alongside: Move</w:t>
      </w:r>
    </w:p>
    <w:p>
      <w:pPr>
        <w:spacing w:after="40"/>
      </w:pPr>
      <w:r>
        <w:rPr>
          <w:sz w:val="26"/>
          <w:szCs w:val="26"/>
        </w:rPr>
        <w:t xml:space="preserve">Clinical review pack</w:t>
      </w:r>
    </w:p>
    <w:p>
      <w:pPr>
        <w:spacing w:after="200"/>
      </w:pPr>
      <w:r>
        <w:rPr>
          <w:color w:val="6B7780"/>
          <w:sz w:val="20"/>
          <w:szCs w:val="20"/>
        </w:rPr>
        <w:t xml:space="preserve">Build New Habits  ·  16 August 2026  ·  v1  ·  Supersedes all previous documents</w:t>
      </w:r>
    </w:p>
    <w:p>
      <w:pPr>
        <w:pBdr>
          <w:bottom w:val="single" w:color="C7CDD2" w:sz="6"/>
        </w:pBdr>
        <w:spacing w:after="160" w:before="160"/>
      </w:pPr>
      <w:r>
        <w:rPr>
          <w:sz w:val="2"/>
          <w:szCs w:val="2"/>
        </w:rPr>
        <w:t xml:space="preserve"/>
      </w:r>
    </w:p>
    <w:p>
      <w:pPr>
        <w:pStyle w:val="Heading1"/>
        <w:spacing w:after="160" w:before="320"/>
      </w:pPr>
      <w:r>
        <w:rPr>
          <w:b/>
          <w:bCs/>
          <w:color w:val="1F4E5F"/>
          <w:sz w:val="30"/>
          <w:szCs w:val="30"/>
        </w:rPr>
        <w:t xml:space="preserve">Before anything else — please read this</w:t>
      </w:r>
    </w:p>
    <w:p>
      <w:pPr>
        <w:spacing w:after="120" w:line="276"/>
      </w:pPr>
      <w:r>
        <w:rPr>
          <w:b/>
          <w:bCs/>
          <w:sz w:val="22"/>
          <w:szCs w:val="22"/>
        </w:rPr>
        <w:t xml:space="preserve">No physiotherapist has reviewed this product. </w:t>
      </w:r>
      <w:r>
        <w:rPr>
          <w:sz w:val="22"/>
          <w:szCs w:val="22"/>
        </w:rPr>
        <w:t xml:space="preserve">Earlier drafts of these documents were reviewed using AI tools, cross-checked across several models. That work was useful and it changed the design substantially, but it is not clinical validation, and models share training data and therefore share blind spots. Where those drafts cite NICE or NHS guidance, we have not independently verified the citations.</w:t>
      </w:r>
    </w:p>
    <w:p>
      <w:pPr>
        <w:spacing w:after="120" w:line="276"/>
      </w:pPr>
      <w:r>
        <w:rPr>
          <w:sz w:val="22"/>
          <w:szCs w:val="22"/>
        </w:rPr>
        <w:t xml:space="preserve">We are telling you this at the top rather than burying it, because you might otherwise reasonably assume a colleague had already vetted this. Nobody has. That is what we are asking you for.</w:t>
      </w:r>
    </w:p>
    <w:p>
      <w:pPr>
        <w:spacing w:after="120" w:line="276"/>
      </w:pPr>
      <w:r>
        <w:rPr>
          <w:sz w:val="22"/>
          <w:szCs w:val="22"/>
        </w:rPr>
        <w:t xml:space="preserve">Everything in this pack is a draft for you to correct or replace. We would much rather receive your wording than ours with your name on it.</w:t>
      </w:r>
    </w:p>
    <w:p>
      <w:pPr>
        <w:pStyle w:val="Heading1"/>
        <w:spacing w:after="160" w:before="320"/>
      </w:pPr>
      <w:r>
        <w:rPr>
          <w:b/>
          <w:bCs/>
          <w:color w:val="1F4E5F"/>
          <w:sz w:val="30"/>
          <w:szCs w:val="30"/>
        </w:rPr>
        <w:t xml:space="preserve">What we are asking for</w:t>
      </w:r>
    </w:p>
    <w:p>
      <w:pPr>
        <w:spacing w:after="120" w:line="276"/>
      </w:pPr>
      <w:r>
        <w:rPr>
          <w:sz w:val="22"/>
          <w:szCs w:val="22"/>
        </w:rPr>
        <w:t xml:space="preserve">Two pieces of paid work. Both are bounded, and either can be done without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DF1F3" w:color="auto" w:val="clear"/>
            <w:tcMar>
              <w:top w:type="dxa" w:w="80"/>
              <w:left w:type="dxa" w:w="120"/>
              <w:bottom w:type="dxa" w:w="80"/>
              <w:right w:type="dxa" w:w="120"/>
            </w:tcMar>
          </w:tcPr>
          <w:p>
            <w:pPr>
              <w:spacing w:after="0" w:line="264"/>
            </w:pPr>
            <w:r>
              <w:rPr>
                <w:b/>
                <w:bCs/>
                <w:sz w:val="20"/>
                <w:szCs w:val="20"/>
              </w:rPr>
              <w:t xml:space="preserve"/>
            </w:r>
          </w:p>
        </w:tc>
        <w:tc>
          <w:tcPr>
            <w:tcW w:type="dxa" w:w="6760"/>
            <w:shd w:fill="EDF1F3" w:color="auto" w:val="clear"/>
            <w:tcMar>
              <w:top w:type="dxa" w:w="80"/>
              <w:left w:type="dxa" w:w="120"/>
              <w:bottom w:type="dxa" w:w="80"/>
              <w:right w:type="dxa" w:w="120"/>
            </w:tcMar>
          </w:tcPr>
          <w:p>
            <w:pPr>
              <w:spacing w:after="0" w:line="264"/>
            </w:pPr>
            <w:r>
              <w:rPr>
                <w:b/>
                <w:bCs/>
                <w:sz w:val="20"/>
                <w:szCs w:val="20"/>
              </w:rPr>
              <w:t xml:space="preserve">The work</w:t>
            </w:r>
          </w:p>
        </w:tc>
      </w:tr>
      <w:tr>
        <w:trPr>
          <w:tblHeader w:val="false"/>
        </w:trPr>
        <w:tc>
          <w:tcPr>
            <w:tcW w:type="dxa" w:w="2600"/>
            <w:tcMar>
              <w:top w:type="dxa" w:w="80"/>
              <w:left w:type="dxa" w:w="120"/>
              <w:bottom w:type="dxa" w:w="80"/>
              <w:right w:type="dxa" w:w="120"/>
            </w:tcMar>
          </w:tcPr>
          <w:p>
            <w:pPr>
              <w:spacing w:after="0" w:line="264"/>
            </w:pPr>
            <w:r>
              <w:rPr>
                <w:b w:val="false"/>
                <w:bCs w:val="false"/>
                <w:sz w:val="20"/>
                <w:szCs w:val="20"/>
              </w:rPr>
              <w:t xml:space="preserve">1. The safety layer</w:t>
            </w:r>
          </w:p>
        </w:tc>
        <w:tc>
          <w:tcPr>
            <w:tcW w:type="dxa" w:w="6760"/>
            <w:tcMar>
              <w:top w:type="dxa" w:w="80"/>
              <w:left w:type="dxa" w:w="120"/>
              <w:bottom w:type="dxa" w:w="80"/>
              <w:right w:type="dxa" w:w="120"/>
            </w:tcMar>
          </w:tcPr>
          <w:p>
            <w:pPr>
              <w:spacing w:after="0" w:line="264"/>
            </w:pPr>
            <w:r>
              <w:rPr>
                <w:b w:val="false"/>
                <w:bCs w:val="false"/>
                <w:sz w:val="20"/>
                <w:szCs w:val="20"/>
              </w:rPr>
              <w:t xml:space="preserve">Review the red-flag screen — the questions, the escalation logic, and the exact wording a user would see — before it goes live.</w:t>
            </w:r>
          </w:p>
        </w:tc>
      </w:tr>
      <w:tr>
        <w:trPr>
          <w:tblHeader w:val="false"/>
        </w:trPr>
        <w:tc>
          <w:tcPr>
            <w:tcW w:type="dxa" w:w="2600"/>
            <w:tcMar>
              <w:top w:type="dxa" w:w="80"/>
              <w:left w:type="dxa" w:w="120"/>
              <w:bottom w:type="dxa" w:w="80"/>
              <w:right w:type="dxa" w:w="120"/>
            </w:tcMar>
          </w:tcPr>
          <w:p>
            <w:pPr>
              <w:spacing w:after="0" w:line="264"/>
            </w:pPr>
            <w:r>
              <w:rPr>
                <w:b w:val="false"/>
                <w:bCs w:val="false"/>
                <w:sz w:val="20"/>
                <w:szCs w:val="20"/>
              </w:rPr>
              <w:t xml:space="preserve">2. The exercise audit</w:t>
            </w:r>
          </w:p>
        </w:tc>
        <w:tc>
          <w:tcPr>
            <w:tcW w:type="dxa" w:w="6760"/>
            <w:tcMar>
              <w:top w:type="dxa" w:w="80"/>
              <w:left w:type="dxa" w:w="120"/>
              <w:bottom w:type="dxa" w:w="80"/>
              <w:right w:type="dxa" w:w="120"/>
            </w:tcMar>
          </w:tcPr>
          <w:p>
            <w:pPr>
              <w:spacing w:after="0" w:line="264"/>
            </w:pPr>
            <w:r>
              <w:rPr>
                <w:b w:val="false"/>
                <w:bCs w:val="false"/>
                <w:sz w:val="20"/>
                <w:szCs w:val="20"/>
              </w:rPr>
              <w:t xml:space="preserve">Clinically audit 95 rehabilitation exercises already live in the product, and the logic that selects them.</w:t>
            </w:r>
          </w:p>
        </w:tc>
      </w:tr>
    </w:tbl>
    <w:p>
      <w:pPr>
        <w:spacing w:after="140"/>
      </w:pPr>
    </w:p>
    <w:p>
      <w:pPr>
        <w:spacing w:after="120" w:line="276"/>
      </w:pPr>
      <w:r>
        <w:rPr>
          <w:sz w:val="22"/>
          <w:szCs w:val="22"/>
        </w:rPr>
        <w:t xml:space="preserve">We would also value your view on whether you would be willing to be named as reviewer on our public safety page, or would prefer not to be. Either answer is fine.</w:t>
      </w:r>
    </w:p>
    <w:p>
      <w:pPr>
        <w:pStyle w:val="Heading1"/>
        <w:spacing w:after="160" w:before="320"/>
      </w:pPr>
      <w:r>
        <w:rPr>
          <w:b/>
          <w:bCs/>
          <w:color w:val="1F4E5F"/>
          <w:sz w:val="30"/>
          <w:szCs w:val="30"/>
        </w:rPr>
        <w:t xml:space="preserve">What Alongside is, and what it is not</w:t>
      </w:r>
    </w:p>
    <w:p>
      <w:pPr>
        <w:spacing w:after="120" w:line="276"/>
      </w:pPr>
      <w:r>
        <w:rPr>
          <w:sz w:val="22"/>
          <w:szCs w:val="22"/>
        </w:rPr>
        <w:t xml:space="preserve">A coaching app. A person says how they are feeling that day — energy, mood, pain — and it adapts a general movement session to that. It runs on a phone. There is no human coach behind it.</w:t>
      </w:r>
    </w:p>
    <w:p>
      <w:pPr>
        <w:spacing w:after="120" w:line="276"/>
      </w:pPr>
      <w:r>
        <w:rPr>
          <w:b/>
          <w:bCs/>
          <w:sz w:val="22"/>
          <w:szCs w:val="22"/>
        </w:rPr>
        <w:t xml:space="preserve">It is not a treatment service, not a diagnostic tool, and not a substitute for assessment. </w:t>
      </w:r>
      <w:r>
        <w:rPr>
          <w:sz w:val="22"/>
          <w:szCs w:val="22"/>
        </w:rPr>
        <w:t xml:space="preserve">We do not want it to become one, and part of what we want from you is to be told if we are drifting toward one without realising.</w:t>
      </w:r>
    </w:p>
    <w:p>
      <w:pPr>
        <w:spacing w:after="120" w:line="276"/>
      </w:pPr>
      <w:r>
        <w:rPr>
          <w:sz w:val="22"/>
          <w:szCs w:val="22"/>
        </w:rPr>
        <w:t xml:space="preserve">It is built for people that mainstream fitness has consistently failed — neurodivergent adults, women navigating hormonal change, and time-poor parents. There are no streaks, no shame mechanics and no comparison against other users. 18+ only.</w:t>
      </w:r>
    </w:p>
    <w:p>
      <w:pPr>
        <w:pStyle w:val="Heading2"/>
        <w:spacing w:after="120" w:before="240"/>
      </w:pPr>
      <w:r>
        <w:rPr>
          <w:b/>
          <w:bCs/>
          <w:color w:val="1F4E5F"/>
          <w:sz w:val="24"/>
          <w:szCs w:val="24"/>
        </w:rPr>
        <w:t xml:space="preserve">What already exists</w:t>
      </w:r>
    </w:p>
    <w:p>
      <w:pPr>
        <w:pStyle w:val="ListParagraph"/>
        <w:numPr>
          <w:ilvl w:val="0"/>
          <w:numId w:val="2"/>
        </w:numPr>
        <w:spacing w:after="80" w:line="276"/>
      </w:pPr>
      <w:r>
        <w:rPr>
          <w:sz w:val="22"/>
          <w:szCs w:val="22"/>
        </w:rPr>
        <w:t xml:space="preserve">29 conditions, each tagged to a movement chain: lower limb, spine, upper limb, or systemic.</w:t>
      </w:r>
    </w:p>
    <w:p>
      <w:pPr>
        <w:pStyle w:val="ListParagraph"/>
        <w:numPr>
          <w:ilvl w:val="0"/>
          <w:numId w:val="2"/>
        </w:numPr>
        <w:spacing w:after="80" w:line="276"/>
      </w:pPr>
      <w:r>
        <w:rPr>
          <w:sz w:val="22"/>
          <w:szCs w:val="22"/>
        </w:rPr>
        <w:t xml:space="preserve">A pain score per condition, 0–10, recorded daily.</w:t>
      </w:r>
    </w:p>
    <w:p>
      <w:pPr>
        <w:pStyle w:val="ListParagraph"/>
        <w:numPr>
          <w:ilvl w:val="0"/>
          <w:numId w:val="2"/>
        </w:numPr>
        <w:spacing w:after="80" w:line="276"/>
      </w:pPr>
      <w:r>
        <w:rPr>
          <w:sz w:val="22"/>
          <w:szCs w:val="22"/>
        </w:rPr>
        <w:t xml:space="preserve">An override that abandons the workout entirely at severe pain and offers only breathing, mindfulness and a gentle walk.</w:t>
      </w:r>
    </w:p>
    <w:p>
      <w:pPr>
        <w:pStyle w:val="ListParagraph"/>
        <w:numPr>
          <w:ilvl w:val="0"/>
          <w:numId w:val="2"/>
        </w:numPr>
        <w:spacing w:after="80" w:line="276"/>
      </w:pPr>
      <w:r>
        <w:rPr>
          <w:sz w:val="22"/>
          <w:szCs w:val="22"/>
        </w:rPr>
        <w:t xml:space="preserve">95 rehabilitation exercises, tagged acute, subacute or maintenance.</w:t>
      </w:r>
    </w:p>
    <w:p>
      <w:pPr>
        <w:pStyle w:val="ListParagraph"/>
        <w:numPr>
          <w:ilvl w:val="0"/>
          <w:numId w:val="2"/>
        </w:numPr>
        <w:spacing w:after="80" w:line="276"/>
      </w:pPr>
      <w:r>
        <w:rPr>
          <w:sz w:val="22"/>
          <w:szCs w:val="22"/>
        </w:rPr>
        <w:t xml:space="preserve">A distinction between exercises a professional prescribed and exercises the person chose themselves. The app never overrides a professional's.</w:t>
      </w:r>
    </w:p>
    <w:p>
      <w:pPr>
        <w:pStyle w:val="ListParagraph"/>
        <w:numPr>
          <w:ilvl w:val="0"/>
          <w:numId w:val="2"/>
        </w:numPr>
        <w:spacing w:after="80" w:line="276"/>
      </w:pPr>
      <w:r>
        <w:rPr>
          <w:sz w:val="22"/>
          <w:szCs w:val="22"/>
        </w:rPr>
        <w:t xml:space="preserve">Hypermobility now excludes all stretch-pattern exercises — added on AI advice, and one of the things we would like you to confirm or reverse.</w:t>
      </w:r>
    </w:p>
    <w:p>
      <w:pPr>
        <w:pStyle w:val="Heading2"/>
        <w:spacing w:after="120" w:before="240"/>
      </w:pPr>
      <w:r>
        <w:rPr>
          <w:b/>
          <w:bCs/>
          <w:color w:val="1F4E5F"/>
          <w:sz w:val="24"/>
          <w:szCs w:val="24"/>
        </w:rPr>
        <w:t xml:space="preserve">What we decided NOT to build</w:t>
      </w:r>
    </w:p>
    <w:p>
      <w:pPr>
        <w:spacing w:after="120" w:line="276"/>
      </w:pPr>
      <w:r>
        <w:rPr>
          <w:sz w:val="22"/>
          <w:szCs w:val="22"/>
        </w:rPr>
        <w:t xml:space="preserve">We originally designed a full rehabilitation front door. We have cut it, and the reasoning matters for what you are being asked to review:</w:t>
      </w:r>
    </w:p>
    <w:p>
      <w:pPr>
        <w:spacing w:after="120" w:line="276"/>
      </w:pPr>
      <w:r>
        <w:rPr>
          <w:sz w:val="22"/>
          <w:szCs w:val="22"/>
        </w:rPr>
        <w:t xml:space="preserve">Roughly 43% of UK adults live with chronic pain, defined at three months, while any sensible redirect threshold is around six weeks. So most people arriving at such a door would be signposted rather than programmed. And the app already adapts around pain. What the front door mainly added was safety and signposting — so we are building the safety and signposting, and not the door.</w:t>
      </w:r>
    </w:p>
    <w:p>
      <w:pPr>
        <w:spacing w:after="120" w:line="276"/>
      </w:pPr>
      <w:r>
        <w:rPr>
          <w:sz w:val="22"/>
          <w:szCs w:val="22"/>
        </w:rPr>
        <w:t xml:space="preserve">Deferred entirely: a named rehab entry point, chain-based routing, any post-surgical pathway, and the upper limb (our shoulder and wrist exercise coverage is too thin to scale or regress safely, so those doors stay shut).</w:t>
      </w:r>
    </w:p>
    <w:p>
      <w:r>
        <w:br w:type="page"/>
      </w:r>
    </w:p>
    <w:p>
      <w:pPr>
        <w:pStyle w:val="Heading1"/>
        <w:spacing w:after="160" w:before="320"/>
      </w:pPr>
      <w:r>
        <w:rPr>
          <w:b/>
          <w:bCs/>
          <w:color w:val="1F4E5F"/>
          <w:sz w:val="30"/>
          <w:szCs w:val="30"/>
        </w:rPr>
        <w:t xml:space="preserve">Part 1 — The red-flag screen</w:t>
      </w:r>
    </w:p>
    <w:p>
      <w:pPr>
        <w:spacing w:after="120" w:line="276"/>
      </w:pPr>
      <w:r>
        <w:rPr>
          <w:sz w:val="22"/>
          <w:szCs w:val="22"/>
        </w:rPr>
        <w:t xml:space="preserve">The principle we are working to, which we would like you to confirm is the right one:</w:t>
      </w:r>
    </w:p>
    <w:p>
      <w:pPr>
        <w:pBdr>
          <w:left w:val="single" w:color="1F4E5F" w:sz="12" w:space="8"/>
        </w:pBdr>
        <w:spacing w:after="140" w:line="276"/>
        <w:ind w:left="431"/>
      </w:pPr>
      <w:r>
        <w:rPr>
          <w:i/>
          <w:iCs/>
          <w:sz w:val="22"/>
          <w:szCs w:val="22"/>
        </w:rPr>
        <w:t xml:space="preserve">A red-flag screen is a safety-netting tool, not a diagnostic assessment. The app can recognise that somebody's answers warrant escalation. It cannot determine what pathology they have.</w:t>
      </w:r>
    </w:p>
    <w:p>
      <w:pPr>
        <w:pStyle w:val="Heading2"/>
        <w:spacing w:after="120" w:before="240"/>
      </w:pPr>
      <w:r>
        <w:rPr>
          <w:b/>
          <w:bCs/>
          <w:color w:val="1F4E5F"/>
          <w:sz w:val="24"/>
          <w:szCs w:val="24"/>
        </w:rPr>
        <w:t xml:space="preserve">Two escalation levels, not three</w:t>
      </w:r>
    </w:p>
    <w:p>
      <w:pPr>
        <w:spacing w:after="120" w:line="276"/>
      </w:pPr>
      <w:r>
        <w:rPr>
          <w:sz w:val="22"/>
          <w:szCs w:val="22"/>
        </w:rPr>
        <w:t xml:space="preserve">An earlier draft had three levels — emergency, urgent and uncertain. We reduced it to two, deliberately, and would like to know whether you think that was right.</w:t>
      </w:r>
    </w:p>
    <w:p>
      <w:pPr>
        <w:spacing w:after="120" w:line="276"/>
      </w:pPr>
      <w:r>
        <w:rPr>
          <w:b w:val="false"/>
          <w:bCs w:val="false"/>
          <w:sz w:val="22"/>
          <w:szCs w:val="22"/>
        </w:rPr>
        <w:t xml:space="preserve">The reason: a three-level design splits neurological symptoms into “rapidly worsening” and “gradually worsening”, which asks the user to grade their own deterioration. That is a clinical judgement handed to a frightened person on a phone. </w:t>
      </w:r>
      <w:r>
        <w:rPr>
          <w:b/>
          <w:bCs/>
          <w:sz w:val="22"/>
          <w:szCs w:val="22"/>
        </w:rPr>
        <w:t xml:space="preserve">Two levels ask nobody to self-triage, and NHS 111 provides the sorting we would otherwise be inventing.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shd w:fill="EDF1F3" w:color="auto" w:val="clear"/>
            <w:tcMar>
              <w:top w:type="dxa" w:w="80"/>
              <w:left w:type="dxa" w:w="120"/>
              <w:bottom w:type="dxa" w:w="80"/>
              <w:right w:type="dxa" w:w="120"/>
            </w:tcMar>
          </w:tcPr>
          <w:p>
            <w:pPr>
              <w:spacing w:after="0" w:line="264"/>
            </w:pPr>
            <w:r>
              <w:rPr>
                <w:b/>
                <w:bCs/>
                <w:sz w:val="20"/>
                <w:szCs w:val="20"/>
              </w:rPr>
              <w:t xml:space="preserve">Level</w:t>
            </w:r>
          </w:p>
        </w:tc>
        <w:tc>
          <w:tcPr>
            <w:tcW w:type="dxa" w:w="3200"/>
            <w:shd w:fill="EDF1F3" w:color="auto" w:val="clear"/>
            <w:tcMar>
              <w:top w:type="dxa" w:w="80"/>
              <w:left w:type="dxa" w:w="120"/>
              <w:bottom w:type="dxa" w:w="80"/>
              <w:right w:type="dxa" w:w="120"/>
            </w:tcMar>
          </w:tcPr>
          <w:p>
            <w:pPr>
              <w:spacing w:after="0" w:line="264"/>
            </w:pPr>
            <w:r>
              <w:rPr>
                <w:b/>
                <w:bCs/>
                <w:sz w:val="20"/>
                <w:szCs w:val="20"/>
              </w:rPr>
              <w:t xml:space="preserve">Triggered by</w:t>
            </w:r>
          </w:p>
        </w:tc>
        <w:tc>
          <w:tcPr>
            <w:tcW w:type="dxa" w:w="4460"/>
            <w:shd w:fill="EDF1F3" w:color="auto" w:val="clear"/>
            <w:tcMar>
              <w:top w:type="dxa" w:w="80"/>
              <w:left w:type="dxa" w:w="120"/>
              <w:bottom w:type="dxa" w:w="80"/>
              <w:right w:type="dxa" w:w="120"/>
            </w:tcMar>
          </w:tcPr>
          <w:p>
            <w:pPr>
              <w:spacing w:after="0" w:line="264"/>
            </w:pPr>
            <w:r>
              <w:rPr>
                <w:b/>
                <w:bCs/>
                <w:sz w:val="20"/>
                <w:szCs w:val="20"/>
              </w:rPr>
              <w:t xml:space="preserve">What the person is told</w:t>
            </w:r>
          </w:p>
        </w:tc>
      </w:tr>
      <w:tr>
        <w:trPr>
          <w:tblHeader w:val="false"/>
        </w:trPr>
        <w:tc>
          <w:tcPr>
            <w:tcW w:type="dxa" w:w="1700"/>
            <w:tcMar>
              <w:top w:type="dxa" w:w="80"/>
              <w:left w:type="dxa" w:w="120"/>
              <w:bottom w:type="dxa" w:w="80"/>
              <w:right w:type="dxa" w:w="120"/>
            </w:tcMar>
          </w:tcPr>
          <w:p>
            <w:pPr>
              <w:spacing w:after="0" w:line="264"/>
            </w:pPr>
            <w:r>
              <w:rPr>
                <w:b w:val="false"/>
                <w:bCs w:val="false"/>
                <w:sz w:val="20"/>
                <w:szCs w:val="20"/>
              </w:rPr>
              <w:t xml:space="preserve">EMERGENCY</w:t>
            </w:r>
          </w:p>
        </w:tc>
        <w:tc>
          <w:tcPr>
            <w:tcW w:type="dxa" w:w="3200"/>
            <w:tcMar>
              <w:top w:type="dxa" w:w="80"/>
              <w:left w:type="dxa" w:w="120"/>
              <w:bottom w:type="dxa" w:w="80"/>
              <w:right w:type="dxa" w:w="120"/>
            </w:tcMar>
          </w:tcPr>
          <w:p>
            <w:pPr>
              <w:spacing w:after="0" w:line="264"/>
            </w:pPr>
            <w:r>
              <w:rPr>
                <w:b w:val="false"/>
                <w:bCs w:val="false"/>
                <w:sz w:val="20"/>
                <w:szCs w:val="20"/>
              </w:rPr>
              <w:t xml:space="preserve">Question 1 only — bladder, bowel or saddle sensory change</w:t>
            </w:r>
          </w:p>
        </w:tc>
        <w:tc>
          <w:tcPr>
            <w:tcW w:type="dxa" w:w="4460"/>
            <w:tcMar>
              <w:top w:type="dxa" w:w="80"/>
              <w:left w:type="dxa" w:w="120"/>
              <w:bottom w:type="dxa" w:w="80"/>
              <w:right w:type="dxa" w:w="120"/>
            </w:tcMar>
          </w:tcPr>
          <w:p>
            <w:pPr>
              <w:spacing w:after="0" w:line="264"/>
            </w:pPr>
            <w:r>
              <w:rPr>
                <w:b w:val="false"/>
                <w:bCs w:val="false"/>
                <w:sz w:val="20"/>
                <w:szCs w:val="20"/>
              </w:rPr>
              <w:t xml:space="preserve">Stop. Attend A&amp;E now; call 999 if you cannot get there safely.</w:t>
            </w:r>
          </w:p>
        </w:tc>
      </w:tr>
      <w:tr>
        <w:trPr>
          <w:tblHeader w:val="false"/>
        </w:trPr>
        <w:tc>
          <w:tcPr>
            <w:tcW w:type="dxa" w:w="1700"/>
            <w:tcMar>
              <w:top w:type="dxa" w:w="80"/>
              <w:left w:type="dxa" w:w="120"/>
              <w:bottom w:type="dxa" w:w="80"/>
              <w:right w:type="dxa" w:w="120"/>
            </w:tcMar>
          </w:tcPr>
          <w:p>
            <w:pPr>
              <w:spacing w:after="0" w:line="264"/>
            </w:pPr>
            <w:r>
              <w:rPr>
                <w:b w:val="false"/>
                <w:bCs w:val="false"/>
                <w:sz w:val="20"/>
                <w:szCs w:val="20"/>
              </w:rPr>
              <w:t xml:space="preserve">STOP AND SEEK ADVICE</w:t>
            </w:r>
          </w:p>
        </w:tc>
        <w:tc>
          <w:tcPr>
            <w:tcW w:type="dxa" w:w="3200"/>
            <w:tcMar>
              <w:top w:type="dxa" w:w="80"/>
              <w:left w:type="dxa" w:w="120"/>
              <w:bottom w:type="dxa" w:w="80"/>
              <w:right w:type="dxa" w:w="120"/>
            </w:tcMar>
          </w:tcPr>
          <w:p>
            <w:pPr>
              <w:spacing w:after="0" w:line="264"/>
            </w:pPr>
            <w:r>
              <w:rPr>
                <w:b w:val="false"/>
                <w:bCs w:val="false"/>
                <w:sz w:val="20"/>
                <w:szCs w:val="20"/>
              </w:rPr>
              <w:t xml:space="preserve">Any other yes, and every “I'm not sure”</w:t>
            </w:r>
          </w:p>
        </w:tc>
        <w:tc>
          <w:tcPr>
            <w:tcW w:type="dxa" w:w="4460"/>
            <w:tcMar>
              <w:top w:type="dxa" w:w="80"/>
              <w:left w:type="dxa" w:w="120"/>
              <w:bottom w:type="dxa" w:w="80"/>
              <w:right w:type="dxa" w:w="120"/>
            </w:tcMar>
          </w:tcPr>
          <w:p>
            <w:pPr>
              <w:spacing w:after="0" w:line="264"/>
            </w:pPr>
            <w:r>
              <w:rPr>
                <w:b w:val="false"/>
                <w:bCs w:val="false"/>
                <w:sz w:val="20"/>
                <w:szCs w:val="20"/>
              </w:rPr>
              <w:t xml:space="preserve">Stop exercising and call NHS 111 for advice before continuing.</w:t>
            </w:r>
          </w:p>
        </w:tc>
      </w:tr>
    </w:tbl>
    <w:p>
      <w:pPr>
        <w:spacing w:after="140"/>
      </w:pPr>
    </w:p>
    <w:p>
      <w:pPr>
        <w:spacing w:after="120" w:line="276"/>
      </w:pPr>
      <w:r>
        <w:rPr>
          <w:b/>
          <w:bCs/>
          <w:sz w:val="22"/>
          <w:szCs w:val="22"/>
        </w:rPr>
        <w:t xml:space="preserve">Every stop message, at both levels, also carries this unconditional line</w:t>
      </w:r>
      <w:r>
        <w:rPr>
          <w:sz w:val="22"/>
          <w:szCs w:val="22"/>
        </w:rPr>
        <w:t xml:space="preserve"> — so the emergency route is always visible without anybody having to classify themselves into it:</w:t>
      </w:r>
    </w:p>
    <w:p>
      <w:pPr>
        <w:pBdr>
          <w:left w:val="single" w:color="9B2C2C" w:sz="12" w:space="8"/>
        </w:pBdr>
        <w:spacing w:after="140" w:line="276"/>
        <w:ind w:left="431"/>
      </w:pPr>
      <w:r>
        <w:rPr>
          <w:i/>
          <w:iCs/>
          <w:sz w:val="22"/>
          <w:szCs w:val="22"/>
        </w:rPr>
        <w:t xml:space="preserve">“If you have new bladder or bowel problems, numbness around your genitals or anus, or weakness that is getting worse quickly — get emergency help now.”</w:t>
      </w:r>
    </w:p>
    <w:p>
      <w:pPr>
        <w:pStyle w:val="Heading2"/>
        <w:spacing w:after="120" w:before="240"/>
      </w:pPr>
      <w:r>
        <w:rPr>
          <w:b/>
          <w:bCs/>
          <w:color w:val="1F4E5F"/>
          <w:sz w:val="24"/>
          <w:szCs w:val="24"/>
        </w:rPr>
        <w:t xml:space="preserve">The four questions — drafts, please rewrite</w:t>
      </w:r>
    </w:p>
    <w:p>
      <w:pPr>
        <w:spacing w:after="120" w:line="276"/>
      </w:pPr>
      <w:r>
        <w:rPr>
          <w:sz w:val="22"/>
          <w:szCs w:val="22"/>
        </w:rPr>
        <w:t xml:space="preserve">These came out of the AI review. We have no confidence in them beyond that.</w:t>
      </w:r>
    </w:p>
    <w:p>
      <w:pPr>
        <w:spacing w:after="60" w:before="160"/>
      </w:pPr>
      <w:r>
        <w:rPr>
          <w:b/>
          <w:bCs/>
          <w:color w:val="9B2C2C"/>
          <w:sz w:val="22"/>
          <w:szCs w:val="22"/>
        </w:rPr>
        <w:t xml:space="preserve">1. Bladder, bowel and saddle sensation — the EMERGENCY question</w:t>
      </w:r>
    </w:p>
    <w:p>
      <w:pPr>
        <w:pBdr>
          <w:left w:val="single" w:color="1F4E5F" w:sz="12" w:space="8"/>
        </w:pBdr>
        <w:spacing w:after="140" w:line="276"/>
        <w:ind w:left="431"/>
      </w:pPr>
      <w:r>
        <w:rPr>
          <w:i/>
          <w:iCs/>
          <w:sz w:val="22"/>
          <w:szCs w:val="22"/>
        </w:rPr>
        <w:t xml:space="preserve">“Since your pain started, have you developed any new changes in your bladder or bowel function, or new numbness or altered feeling around your genitals, anus or the area between your legs?”</w:t>
      </w:r>
    </w:p>
    <w:p>
      <w:pPr>
        <w:spacing w:after="120" w:line="276"/>
      </w:pPr>
      <w:r>
        <w:rPr>
          <w:sz w:val="22"/>
          <w:szCs w:val="22"/>
        </w:rPr>
        <w:t xml:space="preserve">Shown as examples: difficulty starting or controlling urine; being unable to tell when your bladder is full; new loss of bowel control or reduced sensation; altered sensation around the genitals, anus or inner thighs.</w:t>
      </w:r>
    </w:p>
    <w:p>
      <w:pPr>
        <w:spacing w:after="60" w:before="160"/>
      </w:pPr>
      <w:r>
        <w:rPr>
          <w:b/>
          <w:bCs/>
          <w:color w:val="1F4E5F"/>
          <w:sz w:val="22"/>
          <w:szCs w:val="22"/>
        </w:rPr>
        <w:t xml:space="preserve">2. Neurological change</w:t>
      </w:r>
    </w:p>
    <w:p>
      <w:pPr>
        <w:pBdr>
          <w:left w:val="single" w:color="1F4E5F" w:sz="12" w:space="8"/>
        </w:pBdr>
        <w:spacing w:after="140" w:line="276"/>
        <w:ind w:left="431"/>
      </w:pPr>
      <w:r>
        <w:rPr>
          <w:i/>
          <w:iCs/>
          <w:sz w:val="22"/>
          <w:szCs w:val="22"/>
        </w:rPr>
        <w:t xml:space="preserve">“Have you developed new or worsening weakness, numbness or difficulty controlling your movements?”</w:t>
      </w:r>
    </w:p>
    <w:p>
      <w:pPr>
        <w:spacing w:after="120" w:line="276"/>
      </w:pPr>
      <w:r>
        <w:rPr>
          <w:sz w:val="22"/>
          <w:szCs w:val="22"/>
        </w:rPr>
        <w:t xml:space="preserve">Examples: a leg repeatedly giving way; new difficulty lifting your foot or toes; new difficulty walking or climbing stairs; increasing difficulty using an arm or hand; repeatedly dropping things.</w:t>
      </w:r>
    </w:p>
    <w:p>
      <w:pPr>
        <w:spacing w:after="60" w:before="160"/>
      </w:pPr>
      <w:r>
        <w:rPr>
          <w:b/>
          <w:bCs/>
          <w:color w:val="1F4E5F"/>
          <w:sz w:val="22"/>
          <w:szCs w:val="22"/>
        </w:rPr>
        <w:t xml:space="preserve">3. Systemic illness</w:t>
      </w:r>
    </w:p>
    <w:p>
      <w:pPr>
        <w:pBdr>
          <w:left w:val="single" w:color="1F4E5F" w:sz="12" w:space="8"/>
        </w:pBdr>
        <w:spacing w:after="140" w:line="276"/>
        <w:ind w:left="431"/>
      </w:pPr>
      <w:r>
        <w:rPr>
          <w:i/>
          <w:iCs/>
          <w:sz w:val="22"/>
          <w:szCs w:val="22"/>
        </w:rPr>
        <w:t xml:space="preserve">“With your pain, have you developed a fever, chills, unusual sweating, or do you feel generally unwell?”</w:t>
      </w:r>
    </w:p>
    <w:p>
      <w:pPr>
        <w:spacing w:after="60" w:before="160"/>
      </w:pPr>
      <w:r>
        <w:rPr>
          <w:b/>
          <w:bCs/>
          <w:color w:val="1F4E5F"/>
          <w:sz w:val="22"/>
          <w:szCs w:val="22"/>
        </w:rPr>
        <w:t xml:space="preserve">4. Non-mechanical pattern</w:t>
      </w:r>
    </w:p>
    <w:p>
      <w:pPr>
        <w:pBdr>
          <w:left w:val="single" w:color="1F4E5F" w:sz="12" w:space="8"/>
        </w:pBdr>
        <w:spacing w:after="140" w:line="276"/>
        <w:ind w:left="431"/>
      </w:pPr>
      <w:r>
        <w:rPr>
          <w:i/>
          <w:iCs/>
          <w:sz w:val="22"/>
          <w:szCs w:val="22"/>
        </w:rPr>
        <w:t xml:space="preserve">“Is your pain severe, persistent and not changing with movement or position, particularly if it repeatedly wakes you at night? Have you also lost weight without intending to?”</w:t>
      </w:r>
    </w:p>
    <w:p>
      <w:pPr>
        <w:spacing w:after="120" w:line="276"/>
      </w:pPr>
      <w:r>
        <w:rPr>
          <w:sz w:val="22"/>
          <w:szCs w:val="22"/>
        </w:rPr>
        <w:t xml:space="preserve">All four answered Yes / No / I'm not sure.</w:t>
      </w:r>
    </w:p>
    <w:p>
      <w:pPr>
        <w:pStyle w:val="Heading2"/>
        <w:spacing w:after="120" w:before="240"/>
      </w:pPr>
      <w:r>
        <w:rPr>
          <w:b/>
          <w:bCs/>
          <w:color w:val="1F4E5F"/>
          <w:sz w:val="24"/>
          <w:szCs w:val="24"/>
        </w:rPr>
        <w:t xml:space="preserve">Questions on the screen</w:t>
      </w:r>
    </w:p>
    <w:p>
      <w:pPr>
        <w:spacing w:after="60" w:before="200" w:line="276"/>
      </w:pPr>
      <w:r>
        <w:rPr>
          <w:b/>
          <w:bCs/>
          <w:color w:val="1F4E5F"/>
          <w:sz w:val="22"/>
          <w:szCs w:val="22"/>
        </w:rPr>
        <w:t xml:space="preserve">1. Are the questions safe as worded — and is question 1 the right one to make the sole emergency trigger?</w:t>
      </w:r>
    </w:p>
    <w:p>
      <w:pPr>
        <w:spacing w:after="80" w:line="276"/>
      </w:pPr>
      <w:r>
        <w:rPr>
          <w:sz w:val="22"/>
          <w:szCs w:val="22"/>
        </w:rPr>
        <w:t xml:space="preserve">If any of the others should also escalate to emergency, we need to know which and on what pattern.</w:t>
      </w:r>
    </w:p>
    <w:p>
      <w:pPr>
        <w:spacing w:after="60" w:before="200" w:line="276"/>
      </w:pPr>
      <w:r>
        <w:rPr>
          <w:b/>
          <w:bCs/>
          <w:color w:val="1F4E5F"/>
          <w:sz w:val="22"/>
          <w:szCs w:val="22"/>
        </w:rPr>
        <w:t xml:space="preserve">2. False positives are our biggest practical fear.</w:t>
      </w:r>
    </w:p>
    <w:p>
      <w:pPr>
        <w:spacing w:after="80" w:line="276"/>
      </w:pPr>
      <w:r>
        <w:rPr>
          <w:sz w:val="22"/>
          <w:szCs w:val="22"/>
        </w:rPr>
        <w:t xml:space="preserve">Many people have some numbness, and many have night pain from a shoulder they slept on. A screen that sends large numbers of people to urgent care unnecessarily harms them, harms services, and destroys trust in everything the app says afterwards. Is there wording that tightens this, or is over-triggering simply the correct error to make?</w:t>
      </w:r>
    </w:p>
    <w:p>
      <w:pPr>
        <w:spacing w:after="60" w:before="200" w:line="276"/>
      </w:pPr>
      <w:r>
        <w:rPr>
          <w:b/>
          <w:bCs/>
          <w:color w:val="1F4E5F"/>
          <w:sz w:val="22"/>
          <w:szCs w:val="22"/>
        </w:rPr>
        <w:t xml:space="preserve">3. When should it fire, and how often?</w:t>
      </w:r>
    </w:p>
    <w:p>
      <w:pPr>
        <w:spacing w:after="80" w:line="276"/>
      </w:pPr>
      <w:r>
        <w:rPr>
          <w:sz w:val="22"/>
          <w:szCs w:val="22"/>
        </w:rPr>
        <w:t xml:space="preserve">Our plan: at first report of pain or injury, again on a meaningful change in symptoms, plus a light periodic check — “Has anything changed since we last asked?” — rather than repeating four alarming questions to somebody whose symptoms are stable. Is that cadence sensible?</w:t>
      </w:r>
    </w:p>
    <w:p>
      <w:pPr>
        <w:spacing w:after="60" w:before="200" w:line="276"/>
      </w:pPr>
      <w:r>
        <w:rPr>
          <w:b/>
          <w:bCs/>
          <w:color w:val="1F4E5F"/>
          <w:sz w:val="22"/>
          <w:szCs w:val="22"/>
        </w:rPr>
        <w:t xml:space="preserve">4. Who gets screened?</w:t>
      </w:r>
    </w:p>
    <w:p>
      <w:pPr>
        <w:spacing w:after="80" w:line="276"/>
      </w:pPr>
      <w:r>
        <w:rPr>
          <w:sz w:val="22"/>
          <w:szCs w:val="22"/>
        </w:rPr>
        <w:t xml:space="preserve">Our plan: people who report pain or injury or enter a pain-adapted programme, plus a permanently available “my symptoms have changed” route for anyone who initially said they were fine. We do not screen everybody at sign-up, because asking a healthy 30-year-old about bladder control in their first two minutes seems both alarming and counterproductive.</w:t>
      </w:r>
    </w:p>
    <w:p>
      <w:pPr>
        <w:spacing w:after="60" w:before="200" w:line="276"/>
      </w:pPr>
      <w:r>
        <w:rPr>
          <w:b/>
          <w:bCs/>
          <w:color w:val="1F4E5F"/>
          <w:sz w:val="22"/>
          <w:szCs w:val="22"/>
        </w:rPr>
        <w:t xml:space="preserve">5. What should stop?</w:t>
      </w:r>
    </w:p>
    <w:p>
      <w:pPr>
        <w:spacing w:after="80" w:line="276"/>
      </w:pPr>
      <w:r>
        <w:rPr>
          <w:sz w:val="22"/>
          <w:szCs w:val="22"/>
        </w:rPr>
        <w:t xml:space="preserve">Our plan: all exercise, demonstrations, progression and loading stop. Breathing, mindfulness, their own history and account remain, so the person is not ejected from the app at the moment they have been told something worrying. Is that right, or should everything stop?</w:t>
      </w:r>
    </w:p>
    <w:p>
      <w:pPr>
        <w:spacing w:after="60" w:before="200" w:line="276"/>
      </w:pPr>
      <w:r>
        <w:rPr>
          <w:b/>
          <w:bCs/>
          <w:color w:val="1F4E5F"/>
          <w:sz w:val="22"/>
          <w:szCs w:val="22"/>
        </w:rPr>
        <w:t xml:space="preserve">6. Clearing the flag.</w:t>
      </w:r>
    </w:p>
    <w:p>
      <w:pPr>
        <w:spacing w:after="80" w:line="276"/>
      </w:pPr>
      <w:r>
        <w:rPr>
          <w:sz w:val="22"/>
          <w:szCs w:val="22"/>
        </w:rPr>
        <w:t xml:space="preserve">We cannot verify that anybody was actually seen. Our plan is to ask whether they have received medical advice and what they were advised, then record it as user-reported and not independently verified. Is a self-cleared flag acceptable on that basis?</w:t>
      </w:r>
    </w:p>
    <w:p>
      <w:pPr>
        <w:spacing w:after="60" w:before="200" w:line="276"/>
      </w:pPr>
      <w:r>
        <w:rPr>
          <w:b/>
          <w:bCs/>
          <w:color w:val="1F4E5F"/>
          <w:sz w:val="22"/>
          <w:szCs w:val="22"/>
        </w:rPr>
        <w:t xml:space="preserve">7. The six-week review prompt.</w:t>
      </w:r>
    </w:p>
    <w:p>
      <w:pPr>
        <w:spacing w:after="80" w:line="276"/>
      </w:pPr>
      <w:r>
        <w:rPr>
          <w:sz w:val="22"/>
          <w:szCs w:val="22"/>
        </w:rPr>
        <w:t xml:space="preserve">We record a pain score daily, so rather than asking somebody to recall how long they have had pain, we could prompt for professional assessment when symptoms have persisted around six weeks without meaningful improvement — and sooner if clearly worsening. We are deliberately NOT setting a numeric threshold such as a percentage reduction, because that would be a precision the underlying decision does not have. What signals would you use?</w:t>
      </w:r>
    </w:p>
    <w:p>
      <w:r>
        <w:br w:type="page"/>
      </w:r>
    </w:p>
    <w:p>
      <w:pPr>
        <w:pStyle w:val="Heading1"/>
        <w:spacing w:after="160" w:before="320"/>
      </w:pPr>
      <w:r>
        <w:rPr>
          <w:b/>
          <w:bCs/>
          <w:color w:val="1F4E5F"/>
          <w:sz w:val="30"/>
          <w:szCs w:val="30"/>
        </w:rPr>
        <w:t xml:space="preserve">Part 2 — Three conditions we collect and do nothing with</w:t>
      </w:r>
    </w:p>
    <w:p>
      <w:pPr>
        <w:spacing w:after="120" w:line="276"/>
      </w:pPr>
      <w:r>
        <w:rPr>
          <w:sz w:val="22"/>
          <w:szCs w:val="22"/>
        </w:rPr>
        <w:t xml:space="preserve">All three are offered at sign-up, trigger our exercise-clearance question, and then have no effect whatsoever on what the person is given. We would rather tell you that plainly than let you find it.</w:t>
      </w:r>
    </w:p>
    <w:p>
      <w:pPr>
        <w:pStyle w:val="Heading2"/>
        <w:spacing w:after="120" w:before="240"/>
      </w:pPr>
      <w:r>
        <w:rPr>
          <w:b/>
          <w:bCs/>
          <w:color w:val="1F4E5F"/>
          <w:sz w:val="24"/>
          <w:szCs w:val="24"/>
        </w:rPr>
        <w:t xml:space="preserve">ME/CFS — the one that worries us most</w:t>
      </w:r>
    </w:p>
    <w:p>
      <w:pPr>
        <w:spacing w:after="120" w:line="276"/>
      </w:pPr>
      <w:r>
        <w:rPr>
          <w:sz w:val="22"/>
          <w:szCs w:val="22"/>
        </w:rPr>
        <w:t xml:space="preserve">The AI review told us that adapting volume to how somebody feels today is the exact mechanism that triggers post-exertional crashes, and that ME/CFS needs pacing rather than progressive loading. If that is right, our core mechanic is contraindicated for a group we knowingly record.</w:t>
      </w:r>
    </w:p>
    <w:p>
      <w:pPr>
        <w:spacing w:after="120" w:line="276"/>
      </w:pPr>
      <w:r>
        <w:rPr>
          <w:sz w:val="22"/>
          <w:szCs w:val="22"/>
        </w:rPr>
        <w:t xml:space="preserve">Our intended response, pending your view: identify these users, offer only non-exertional content, and tell them honestly that we are not built for this yet. We will not build a pacing model — it is beyond what we can responsibly do.</w:t>
      </w:r>
    </w:p>
    <w:p>
      <w:pPr>
        <w:spacing w:after="120" w:line="276"/>
      </w:pPr>
      <w:r>
        <w:rPr>
          <w:sz w:val="22"/>
          <w:szCs w:val="22"/>
        </w:rPr>
        <w:t xml:space="preserve">Our questions:</w:t>
      </w:r>
    </w:p>
    <w:p>
      <w:pPr>
        <w:pStyle w:val="ListParagraph"/>
        <w:numPr>
          <w:ilvl w:val="0"/>
          <w:numId w:val="2"/>
        </w:numPr>
        <w:spacing w:after="80" w:line="276"/>
      </w:pPr>
      <w:r>
        <w:rPr>
          <w:sz w:val="22"/>
          <w:szCs w:val="22"/>
        </w:rPr>
        <w:t xml:space="preserve">Our condition option is labelled “Chronic fatigue / ME-CFS”, which covers two different populations. Is a single distinguishing question about delayed crashes after activity appropriate for a non-clinical app? If so, what should it say? If not, we will ask people to self-identify, which we think is worse.</w:t>
      </w:r>
    </w:p>
    <w:p>
      <w:pPr>
        <w:pStyle w:val="ListParagraph"/>
        <w:numPr>
          <w:ilvl w:val="0"/>
          <w:numId w:val="2"/>
        </w:numPr>
        <w:spacing w:after="80" w:line="276"/>
      </w:pPr>
      <w:r>
        <w:rPr>
          <w:sz w:val="22"/>
          <w:szCs w:val="22"/>
        </w:rPr>
        <w:t xml:space="preserve">Is chronic fatigue WITHOUT post-exertional malaise safe on our normal adaptive model?</w:t>
      </w:r>
    </w:p>
    <w:p>
      <w:pPr>
        <w:pStyle w:val="ListParagraph"/>
        <w:numPr>
          <w:ilvl w:val="0"/>
          <w:numId w:val="2"/>
        </w:numPr>
        <w:spacing w:after="80" w:line="276"/>
      </w:pPr>
      <w:r>
        <w:rPr>
          <w:sz w:val="22"/>
          <w:szCs w:val="22"/>
        </w:rPr>
        <w:t xml:space="preserve">What is genuinely non-exertional here? We assume breathing and seated mindfulness. We are NOT assuming anything about walking — our lowest-intensity option currently includes a gentle walk.</w:t>
      </w:r>
    </w:p>
    <w:p>
      <w:pPr>
        <w:pStyle w:val="Heading2"/>
        <w:spacing w:after="120" w:before="240"/>
      </w:pPr>
      <w:r>
        <w:rPr>
          <w:b/>
          <w:bCs/>
          <w:color w:val="1F4E5F"/>
          <w:sz w:val="24"/>
          <w:szCs w:val="24"/>
        </w:rPr>
        <w:t xml:space="preserve">Fibromyalgia</w:t>
      </w:r>
    </w:p>
    <w:p>
      <w:pPr>
        <w:spacing w:after="120" w:line="276"/>
      </w:pPr>
      <w:r>
        <w:rPr>
          <w:sz w:val="22"/>
          <w:szCs w:val="22"/>
        </w:rPr>
        <w:t xml:space="preserve">The AI review suggested this should shape the coaching strategy — gradual progression, individual tolerance, pacing, avoiding an all-or-nothing response to flare-ups — rather than acting as a contraindication. That fits our philosophy well, which makes us want to check it rather than accept it because it is convenient. Is it right?</w:t>
      </w:r>
    </w:p>
    <w:p>
      <w:pPr>
        <w:pStyle w:val="Heading2"/>
        <w:spacing w:after="120" w:before="240"/>
      </w:pPr>
      <w:r>
        <w:rPr>
          <w:b/>
          <w:bCs/>
          <w:color w:val="1F4E5F"/>
          <w:sz w:val="24"/>
          <w:szCs w:val="24"/>
        </w:rPr>
        <w:t xml:space="preserve">Osteoporosis / low bone density</w:t>
      </w:r>
    </w:p>
    <w:p>
      <w:pPr>
        <w:spacing w:after="120" w:line="276"/>
      </w:pPr>
      <w:r>
        <w:rPr>
          <w:sz w:val="22"/>
          <w:szCs w:val="22"/>
        </w:rPr>
        <w:t xml:space="preserve">We have written nothing at all here, deliberately. An earlier draft of ours invented a plausible-sounding loading rule and attributed it to a clinician who had never said it. We caught it and removed it, and we would rather leave an honest gap than repeat that. What should we consider — and does it need somebody with specific bone-health expertise rather than a general MSK view?</w:t>
      </w:r>
    </w:p>
    <w:p>
      <w:r>
        <w:br w:type="page"/>
      </w:r>
    </w:p>
    <w:p>
      <w:pPr>
        <w:pStyle w:val="Heading1"/>
        <w:spacing w:after="160" w:before="320"/>
      </w:pPr>
      <w:r>
        <w:rPr>
          <w:b/>
          <w:bCs/>
          <w:color w:val="1F4E5F"/>
          <w:sz w:val="30"/>
          <w:szCs w:val="30"/>
        </w:rPr>
        <w:t xml:space="preserve">Part 3 — The 95-exercise audit</w:t>
      </w:r>
    </w:p>
    <w:p>
      <w:pPr>
        <w:spacing w:after="120" w:line="276"/>
      </w:pPr>
      <w:r>
        <w:rPr>
          <w:sz w:val="22"/>
          <w:szCs w:val="22"/>
        </w:rPr>
        <w:t xml:space="preserve">These exercises are live in the product now, so this work is needed whether or not any of the above is built. We would like to commission it properly.</w:t>
      </w:r>
    </w:p>
    <w:p>
      <w:pPr>
        <w:spacing w:after="120" w:line="276"/>
      </w:pPr>
      <w:r>
        <w:rPr>
          <w:sz w:val="22"/>
          <w:szCs w:val="22"/>
        </w:rPr>
        <w:t xml:space="preserve">A suggested template, which came out of the AI review and which you should change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DF1F3" w:color="auto" w:val="clear"/>
            <w:tcMar>
              <w:top w:type="dxa" w:w="80"/>
              <w:left w:type="dxa" w:w="120"/>
              <w:bottom w:type="dxa" w:w="80"/>
              <w:right w:type="dxa" w:w="120"/>
            </w:tcMar>
          </w:tcPr>
          <w:p>
            <w:pPr>
              <w:spacing w:after="0" w:line="264"/>
            </w:pPr>
            <w:r>
              <w:rPr>
                <w:b/>
                <w:bCs/>
                <w:sz w:val="20"/>
                <w:szCs w:val="20"/>
              </w:rPr>
              <w:t xml:space="preserve">Area</w:t>
            </w:r>
          </w:p>
        </w:tc>
        <w:tc>
          <w:tcPr>
            <w:tcW w:type="dxa" w:w="6360"/>
            <w:shd w:fill="EDF1F3" w:color="auto" w:val="clear"/>
            <w:tcMar>
              <w:top w:type="dxa" w:w="80"/>
              <w:left w:type="dxa" w:w="120"/>
              <w:bottom w:type="dxa" w:w="80"/>
              <w:right w:type="dxa" w:w="120"/>
            </w:tcMar>
          </w:tcPr>
          <w:p>
            <w:pPr>
              <w:spacing w:after="0" w:line="264"/>
            </w:pPr>
            <w:r>
              <w:rPr>
                <w:b/>
                <w:bCs/>
                <w:sz w:val="20"/>
                <w:szCs w:val="20"/>
              </w:rPr>
              <w:t xml:space="preserve">Audit question</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Indication</w:t>
            </w:r>
          </w:p>
        </w:tc>
        <w:tc>
          <w:tcPr>
            <w:tcW w:type="dxa" w:w="6360"/>
            <w:tcMar>
              <w:top w:type="dxa" w:w="80"/>
              <w:left w:type="dxa" w:w="120"/>
              <w:bottom w:type="dxa" w:w="80"/>
              <w:right w:type="dxa" w:w="120"/>
            </w:tcMar>
          </w:tcPr>
          <w:p>
            <w:pPr>
              <w:spacing w:after="0" w:line="264"/>
            </w:pPr>
            <w:r>
              <w:rPr>
                <w:b w:val="false"/>
                <w:bCs w:val="false"/>
                <w:sz w:val="20"/>
                <w:szCs w:val="20"/>
              </w:rPr>
              <w:t xml:space="preserve">Why is this exercise being offered?</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Population</w:t>
            </w:r>
          </w:p>
        </w:tc>
        <w:tc>
          <w:tcPr>
            <w:tcW w:type="dxa" w:w="6360"/>
            <w:tcMar>
              <w:top w:type="dxa" w:w="80"/>
              <w:left w:type="dxa" w:w="120"/>
              <w:bottom w:type="dxa" w:w="80"/>
              <w:right w:type="dxa" w:w="120"/>
            </w:tcMar>
          </w:tcPr>
          <w:p>
            <w:pPr>
              <w:spacing w:after="0" w:line="264"/>
            </w:pPr>
            <w:r>
              <w:rPr>
                <w:b w:val="false"/>
                <w:bCs w:val="false"/>
                <w:sz w:val="20"/>
                <w:szCs w:val="20"/>
              </w:rPr>
              <w:t xml:space="preserve">Who is it appropriate for?</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Contraindications</w:t>
            </w:r>
          </w:p>
        </w:tc>
        <w:tc>
          <w:tcPr>
            <w:tcW w:type="dxa" w:w="6360"/>
            <w:tcMar>
              <w:top w:type="dxa" w:w="80"/>
              <w:left w:type="dxa" w:w="120"/>
              <w:bottom w:type="dxa" w:w="80"/>
              <w:right w:type="dxa" w:w="120"/>
            </w:tcMar>
          </w:tcPr>
          <w:p>
            <w:pPr>
              <w:spacing w:after="0" w:line="264"/>
            </w:pPr>
            <w:r>
              <w:rPr>
                <w:b w:val="false"/>
                <w:bCs w:val="false"/>
                <w:sz w:val="20"/>
                <w:szCs w:val="20"/>
              </w:rPr>
              <w:t xml:space="preserve">Who should not perform it?</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Precautions</w:t>
            </w:r>
          </w:p>
        </w:tc>
        <w:tc>
          <w:tcPr>
            <w:tcW w:type="dxa" w:w="6360"/>
            <w:tcMar>
              <w:top w:type="dxa" w:w="80"/>
              <w:left w:type="dxa" w:w="120"/>
              <w:bottom w:type="dxa" w:w="80"/>
              <w:right w:type="dxa" w:w="120"/>
            </w:tcMar>
          </w:tcPr>
          <w:p>
            <w:pPr>
              <w:spacing w:after="0" w:line="264"/>
            </w:pPr>
            <w:r>
              <w:rPr>
                <w:b w:val="false"/>
                <w:bCs w:val="false"/>
                <w:sz w:val="20"/>
                <w:szCs w:val="20"/>
              </w:rPr>
              <w:t xml:space="preserve">Who needs modification or clinical advice first?</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Starting position</w:t>
            </w:r>
          </w:p>
        </w:tc>
        <w:tc>
          <w:tcPr>
            <w:tcW w:type="dxa" w:w="6360"/>
            <w:tcMar>
              <w:top w:type="dxa" w:w="80"/>
              <w:left w:type="dxa" w:w="120"/>
              <w:bottom w:type="dxa" w:w="80"/>
              <w:right w:type="dxa" w:w="120"/>
            </w:tcMar>
          </w:tcPr>
          <w:p>
            <w:pPr>
              <w:spacing w:after="0" w:line="264"/>
            </w:pPr>
            <w:r>
              <w:rPr>
                <w:b w:val="false"/>
                <w:bCs w:val="false"/>
                <w:sz w:val="20"/>
                <w:szCs w:val="20"/>
              </w:rPr>
              <w:t xml:space="preserve">Is it safe, and accurately described?</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Technique</w:t>
            </w:r>
          </w:p>
        </w:tc>
        <w:tc>
          <w:tcPr>
            <w:tcW w:type="dxa" w:w="6360"/>
            <w:tcMar>
              <w:top w:type="dxa" w:w="80"/>
              <w:left w:type="dxa" w:w="120"/>
              <w:bottom w:type="dxa" w:w="80"/>
              <w:right w:type="dxa" w:w="120"/>
            </w:tcMar>
          </w:tcPr>
          <w:p>
            <w:pPr>
              <w:spacing w:after="0" w:line="264"/>
            </w:pPr>
            <w:r>
              <w:rPr>
                <w:b w:val="false"/>
                <w:bCs w:val="false"/>
                <w:sz w:val="20"/>
                <w:szCs w:val="20"/>
              </w:rPr>
              <w:t xml:space="preserve">Are the instructions clinically accurate?</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Dosage</w:t>
            </w:r>
          </w:p>
        </w:tc>
        <w:tc>
          <w:tcPr>
            <w:tcW w:type="dxa" w:w="6360"/>
            <w:tcMar>
              <w:top w:type="dxa" w:w="80"/>
              <w:left w:type="dxa" w:w="120"/>
              <w:bottom w:type="dxa" w:w="80"/>
              <w:right w:type="dxa" w:w="120"/>
            </w:tcMar>
          </w:tcPr>
          <w:p>
            <w:pPr>
              <w:spacing w:after="0" w:line="264"/>
            </w:pPr>
            <w:r>
              <w:rPr>
                <w:b w:val="false"/>
                <w:bCs w:val="false"/>
                <w:sz w:val="20"/>
                <w:szCs w:val="20"/>
              </w:rPr>
              <w:t xml:space="preserve">Are reps, time and load appropriate?</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Progression / regression</w:t>
            </w:r>
          </w:p>
        </w:tc>
        <w:tc>
          <w:tcPr>
            <w:tcW w:type="dxa" w:w="6360"/>
            <w:tcMar>
              <w:top w:type="dxa" w:w="80"/>
              <w:left w:type="dxa" w:w="120"/>
              <w:bottom w:type="dxa" w:w="80"/>
              <w:right w:type="dxa" w:w="120"/>
            </w:tcMar>
          </w:tcPr>
          <w:p>
            <w:pPr>
              <w:spacing w:after="0" w:line="264"/>
            </w:pPr>
            <w:r>
              <w:rPr>
                <w:b w:val="false"/>
                <w:bCs w:val="false"/>
                <w:sz w:val="20"/>
                <w:szCs w:val="20"/>
              </w:rPr>
              <w:t xml:space="preserve">What makes it harder, and what makes it easier?</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Symptom response</w:t>
            </w:r>
          </w:p>
        </w:tc>
        <w:tc>
          <w:tcPr>
            <w:tcW w:type="dxa" w:w="6360"/>
            <w:tcMar>
              <w:top w:type="dxa" w:w="80"/>
              <w:left w:type="dxa" w:w="120"/>
              <w:bottom w:type="dxa" w:w="80"/>
              <w:right w:type="dxa" w:w="120"/>
            </w:tcMar>
          </w:tcPr>
          <w:p>
            <w:pPr>
              <w:spacing w:after="0" w:line="264"/>
            </w:pPr>
            <w:r>
              <w:rPr>
                <w:b w:val="false"/>
                <w:bCs w:val="false"/>
                <w:sz w:val="20"/>
                <w:szCs w:val="20"/>
              </w:rPr>
              <w:t xml:space="preserve">What response is acceptable during and after?</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Stop criteria</w:t>
            </w:r>
          </w:p>
        </w:tc>
        <w:tc>
          <w:tcPr>
            <w:tcW w:type="dxa" w:w="6360"/>
            <w:tcMar>
              <w:top w:type="dxa" w:w="80"/>
              <w:left w:type="dxa" w:w="120"/>
              <w:bottom w:type="dxa" w:w="80"/>
              <w:right w:type="dxa" w:w="120"/>
            </w:tcMar>
          </w:tcPr>
          <w:p>
            <w:pPr>
              <w:spacing w:after="0" w:line="264"/>
            </w:pPr>
            <w:r>
              <w:rPr>
                <w:b w:val="false"/>
                <w:bCs w:val="false"/>
                <w:sz w:val="20"/>
                <w:szCs w:val="20"/>
              </w:rPr>
              <w:t xml:space="preserve">When should the person stop?</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Condition tagging</w:t>
            </w:r>
          </w:p>
        </w:tc>
        <w:tc>
          <w:tcPr>
            <w:tcW w:type="dxa" w:w="6360"/>
            <w:tcMar>
              <w:top w:type="dxa" w:w="80"/>
              <w:left w:type="dxa" w:w="120"/>
              <w:bottom w:type="dxa" w:w="80"/>
              <w:right w:type="dxa" w:w="120"/>
            </w:tcMar>
          </w:tcPr>
          <w:p>
            <w:pPr>
              <w:spacing w:after="0" w:line="264"/>
            </w:pPr>
            <w:r>
              <w:rPr>
                <w:b w:val="false"/>
                <w:bCs w:val="false"/>
                <w:sz w:val="20"/>
                <w:szCs w:val="20"/>
              </w:rPr>
              <w:t xml:space="preserve">Is it appropriate for the conditions it is tagged to?</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Post-operative</w:t>
            </w:r>
          </w:p>
        </w:tc>
        <w:tc>
          <w:tcPr>
            <w:tcW w:type="dxa" w:w="6360"/>
            <w:tcMar>
              <w:top w:type="dxa" w:w="80"/>
              <w:left w:type="dxa" w:w="120"/>
              <w:bottom w:type="dxa" w:w="80"/>
              <w:right w:type="dxa" w:w="120"/>
            </w:tcMar>
          </w:tcPr>
          <w:p>
            <w:pPr>
              <w:spacing w:after="0" w:line="264"/>
            </w:pPr>
            <w:r>
              <w:rPr>
                <w:b w:val="false"/>
                <w:bCs w:val="false"/>
                <w:sz w:val="20"/>
                <w:szCs w:val="20"/>
              </w:rPr>
              <w:t xml:space="preserve">Does it need surgical clearance or timing restrictions?</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Media</w:t>
            </w:r>
          </w:p>
        </w:tc>
        <w:tc>
          <w:tcPr>
            <w:tcW w:type="dxa" w:w="6360"/>
            <w:tcMar>
              <w:top w:type="dxa" w:w="80"/>
              <w:left w:type="dxa" w:w="120"/>
              <w:bottom w:type="dxa" w:w="80"/>
              <w:right w:type="dxa" w:w="120"/>
            </w:tcMar>
          </w:tcPr>
          <w:p>
            <w:pPr>
              <w:spacing w:after="0" w:line="264"/>
            </w:pPr>
            <w:r>
              <w:rPr>
                <w:b w:val="false"/>
                <w:bCs w:val="false"/>
                <w:sz w:val="20"/>
                <w:szCs w:val="20"/>
              </w:rPr>
              <w:t xml:space="preserve">Does the animation match the written instruction?</w:t>
            </w:r>
          </w:p>
        </w:tc>
      </w:tr>
      <w:tr>
        <w:trPr>
          <w:tblHeader w:val="false"/>
        </w:trPr>
        <w:tc>
          <w:tcPr>
            <w:tcW w:type="dxa" w:w="3000"/>
            <w:tcMar>
              <w:top w:type="dxa" w:w="80"/>
              <w:left w:type="dxa" w:w="120"/>
              <w:bottom w:type="dxa" w:w="80"/>
              <w:right w:type="dxa" w:w="120"/>
            </w:tcMar>
          </w:tcPr>
          <w:p>
            <w:pPr>
              <w:spacing w:after="0" w:line="264"/>
            </w:pPr>
            <w:r>
              <w:rPr>
                <w:b w:val="false"/>
                <w:bCs w:val="false"/>
                <w:sz w:val="20"/>
                <w:szCs w:val="20"/>
              </w:rPr>
              <w:t xml:space="preserve">Interpretation</w:t>
            </w:r>
          </w:p>
        </w:tc>
        <w:tc>
          <w:tcPr>
            <w:tcW w:type="dxa" w:w="6360"/>
            <w:tcMar>
              <w:top w:type="dxa" w:w="80"/>
              <w:left w:type="dxa" w:w="120"/>
              <w:bottom w:type="dxa" w:w="80"/>
              <w:right w:type="dxa" w:w="120"/>
            </w:tcMar>
          </w:tcPr>
          <w:p>
            <w:pPr>
              <w:spacing w:after="0" w:line="264"/>
            </w:pPr>
            <w:r>
              <w:rPr>
                <w:b w:val="false"/>
                <w:bCs w:val="false"/>
                <w:sz w:val="20"/>
                <w:szCs w:val="20"/>
              </w:rPr>
              <w:t xml:space="preserve">Could a non-clinician misunderstand it?</w:t>
            </w:r>
          </w:p>
        </w:tc>
      </w:tr>
    </w:tbl>
    <w:p>
      <w:pPr>
        <w:spacing w:after="140"/>
      </w:pPr>
    </w:p>
    <w:p>
      <w:pPr>
        <w:spacing w:after="120" w:line="276"/>
      </w:pPr>
      <w:r>
        <w:rPr>
          <w:b/>
          <w:bCs/>
          <w:sz w:val="22"/>
          <w:szCs w:val="22"/>
        </w:rPr>
        <w:t xml:space="preserve">One addition we think matters: please audit the SELECTION LOGIC, not only the exercises. </w:t>
      </w:r>
      <w:r>
        <w:rPr>
          <w:sz w:val="22"/>
          <w:szCs w:val="22"/>
        </w:rPr>
        <w:t xml:space="preserve">An individually safe exercise becomes unsafe if the app offers it to the wrong person, at the wrong stage, at the wrong dose. That decision is made by our code, and it is the part nobody has ever checked.</w:t>
      </w:r>
    </w:p>
    <w:p>
      <w:pPr>
        <w:pStyle w:val="Heading1"/>
        <w:spacing w:after="160" w:before="320"/>
      </w:pPr>
      <w:r>
        <w:rPr>
          <w:b/>
          <w:bCs/>
          <w:color w:val="1F4E5F"/>
          <w:sz w:val="30"/>
          <w:szCs w:val="30"/>
        </w:rPr>
        <w:t xml:space="preserve">Timeline, and what happens if you say no</w:t>
      </w:r>
    </w:p>
    <w:p>
      <w:pPr>
        <w:spacing w:after="120" w:line="276"/>
      </w:pPr>
      <w:r>
        <w:rPr>
          <w:sz w:val="22"/>
          <w:szCs w:val="22"/>
        </w:rPr>
        <w:t xml:space="preserve">Beta is mid-September, with a small invited group. Public launch is January 2027.</w:t>
      </w:r>
    </w:p>
    <w:p>
      <w:pPr>
        <w:spacing w:after="120" w:line="276"/>
      </w:pPr>
      <w:r>
        <w:rPr>
          <w:sz w:val="22"/>
          <w:szCs w:val="22"/>
        </w:rPr>
        <w:t xml:space="preserve">If the timeline does not work for you, we would still welcome a steer on who to approach. And if your view is that some part of this should not be built at all, that is a genuinely useful answer — we have already cut this feature's scope twice on safety grounds and would cut it again.</w:t>
      </w:r>
    </w:p>
    <w:p>
      <w:pPr>
        <w:spacing w:after="120" w:line="276"/>
      </w:pPr>
      <w:r>
        <w:rPr>
          <w:b/>
          <w:bCs/>
          <w:sz w:val="22"/>
          <w:szCs w:val="22"/>
        </w:rPr>
        <w:t xml:space="preserve">If we cannot get clinical review in time, our fallback is to narrow what the app does with health data rather than launch it unchecked. </w:t>
      </w:r>
      <w:r>
        <w:rPr>
          <w:sz w:val="22"/>
          <w:szCs w:val="22"/>
        </w:rPr>
        <w:t xml:space="preserve">We would rather ship a smaller honest product than a larger unverified one.</w:t>
      </w:r>
    </w:p>
    <w:p>
      <w:pPr>
        <w:spacing w:before="300"/>
      </w:pPr>
    </w:p>
    <w:p>
      <w:pPr>
        <w:jc w:val="center"/>
      </w:pPr>
      <w:r>
        <w:rPr>
          <w:color w:val="6B7780"/>
          <w:sz w:val="18"/>
          <w:szCs w:val="18"/>
        </w:rPr>
        <w:t xml:space="preserve">Build New Habits · Alongside: Move · Clinical review pack · 16 August 2026 v1</w:t>
      </w:r>
    </w:p>
    <w:p>
      <w:pPr>
        <w:jc w:val="center"/>
      </w:pPr>
      <w:r>
        <w:rPr>
          <w:i/>
          <w:iCs/>
          <w:color w:val="6B7780"/>
          <w:sz w:val="18"/>
          <w:szCs w:val="18"/>
        </w:rPr>
        <w:t xml:space="preserve">Nothing described here ships in wording a clinician has not seen.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2026-08-16T17:26:20.760Z</dcterms:created>
  <dcterms:modified xsi:type="dcterms:W3CDTF">2026-08-16T17:26:20.772Z</dcterms:modified>
</cp:coreProperties>
</file>

<file path=docProps/custom.xml><?xml version="1.0" encoding="utf-8"?>
<Properties xmlns="http://schemas.openxmlformats.org/officeDocument/2006/custom-properties" xmlns:vt="http://schemas.openxmlformats.org/officeDocument/2006/docPropsVTypes"/>
</file>