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20"/>
          <w:szCs w:val="20"/>
        </w:rPr>
        <w:t xml:space="preserve">BUILD NEW HABITS</w:t>
      </w:r>
    </w:p>
    <w:p>
      <w:pPr>
        <w:spacing w:after="40"/>
      </w:pPr>
      <w:r>
        <w:rPr>
          <w:b/>
          <w:bCs/>
          <w:color w:val="1F4E5F"/>
          <w:sz w:val="36"/>
          <w:szCs w:val="36"/>
        </w:rPr>
        <w:t xml:space="preserve">Data Protection Compliance Register</w:t>
      </w:r>
    </w:p>
    <w:p>
      <w:pPr>
        <w:spacing w:after="200"/>
      </w:pPr>
      <w:r>
        <w:rPr>
          <w:b/>
          <w:bCs/>
          <w:sz w:val="22"/>
          <w:szCs w:val="22"/>
        </w:rPr>
        <w:t xml:space="preserve">28 Aug 2026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7" w:val="clear"/>
            <w:tcMar>
              <w:top w:type="dxa" w:w="120"/>
              <w:left w:type="dxa" w:w="160"/>
              <w:bottom w:type="dxa" w:w="120"/>
              <w:right w:type="dxa" w:w="160"/>
            </w:tcMar>
          </w:tcPr>
          <w:p>
            <w:pPr>
              <w:spacing w:after="60"/>
            </w:pPr>
            <w:r>
              <w:rPr>
                <w:b/>
                <w:bCs/>
                <w:color w:val="1F4E5F"/>
                <w:sz w:val="21"/>
                <w:szCs w:val="21"/>
              </w:rPr>
              <w:t xml:space="preserve">What this is</w:t>
            </w:r>
          </w:p>
          <w:p>
            <w:r>
              <w:rPr>
                <w:sz w:val="21"/>
                <w:szCs w:val="21"/>
              </w:rPr>
              <w:t xml:space="preserve">Every data protection obligation that applies to Build New Habits, whether it is done, who can do it, what it is actually blocked on, and the order to do it in. Written so that the honest answer to "where are you up to?" is one page rather than a conversation.</w:t>
            </w:r>
          </w:p>
        </w:tc>
      </w:tr>
    </w:tbl>
    <w:p>
      <w:pPr>
        <w:spacing w:after="140"/>
      </w:pPr>
      <w:r>
        <w:rPr>
          <w:sz w:val="22"/>
          <w:szCs w:val="22"/>
        </w:rPr>
        <w:t xml:space="preserve"/>
      </w:r>
    </w:p>
    <w:p>
      <w:pPr>
        <w:pStyle w:val="Heading1"/>
        <w:spacing w:after="160" w:before="360"/>
      </w:pPr>
      <w:r>
        <w:rPr>
          <w:b/>
          <w:bCs/>
          <w:color w:val="1F4E5F"/>
          <w:sz w:val="32"/>
          <w:szCs w:val="32"/>
        </w:rPr>
        <w:t xml:space="preserve">Two things found in the live build today</w:t>
      </w:r>
    </w:p>
    <w:p>
      <w:pPr>
        <w:pStyle w:val="Heading2"/>
        <w:spacing w:after="120" w:before="280"/>
      </w:pPr>
      <w:r>
        <w:rPr>
          <w:b/>
          <w:bCs/>
          <w:color w:val="1F4E5F"/>
          <w:sz w:val="26"/>
          <w:szCs w:val="26"/>
        </w:rPr>
        <w:t xml:space="preserve">1. The privacy policy would have shipped a false statement</w:t>
      </w:r>
    </w:p>
    <w:p>
      <w:pPr>
        <w:spacing w:after="140"/>
      </w:pPr>
      <w:r>
        <w:rPr>
          <w:sz w:val="22"/>
          <w:szCs w:val="22"/>
        </w:rPr>
        <w:t xml:space="preserve">The draft says we ask for date of birth at account creation. The age gate exists in thread.js but AGE_GATE_ENABLED is set to false, deliberately, pending the resolution of A1.11 and Natalie's written advice. So the app does not ask, and a policy saying it does would be untrue on the day it published.</w:t>
      </w:r>
    </w:p>
    <w:p>
      <w:pPr>
        <w:spacing w:after="140"/>
      </w:pPr>
      <w:r>
        <w:rPr>
          <w:sz w:val="22"/>
          <w:szCs w:val="22"/>
        </w:rPr>
        <w:t xml:space="preserve">This is the third instance of the same fault. "Build New Habits Ltd" and "ICO registered" were both found live in privacy.js on 11 August and removed. The pattern is a legal or marketing document describing an intention as though it were a fact. The privacy policy is now v5, with the age wording corrected to describe the check as a control that will be in place before beta rather than one that is running.</w:t>
      </w:r>
    </w:p>
    <w:p>
      <w:pPr>
        <w:spacing w:after="140"/>
      </w:pPr>
      <w:r>
        <w:rPr>
          <w:sz w:val="22"/>
          <w:szCs w:val="22"/>
        </w:rPr>
        <w:t xml:space="preserve">The wider rule this suggests, and it is worth writing down: no compliance document ships a claim about the product that is not traceable to a code path or a gate. That is the same discipline already applied to conversion copy by verify-plain1.mjs, applied to legal copy.</w:t>
      </w:r>
    </w:p>
    <w:p>
      <w:pPr>
        <w:pStyle w:val="Heading2"/>
        <w:spacing w:after="120" w:before="280"/>
      </w:pPr>
      <w:r>
        <w:rPr>
          <w:b/>
          <w:bCs/>
          <w:color w:val="1F4E5F"/>
          <w:sz w:val="26"/>
          <w:szCs w:val="26"/>
        </w:rPr>
        <w:t xml:space="preserve">2. Three documents give three different minimum 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E4EAEE" w:val="clear"/>
            <w:tcMar>
              <w:top w:type="dxa" w:w="80"/>
              <w:left w:type="dxa" w:w="110"/>
              <w:bottom w:type="dxa" w:w="80"/>
              <w:right w:type="dxa" w:w="110"/>
            </w:tcMar>
          </w:tcPr>
          <w:p>
            <w:r>
              <w:rPr>
                <w:b/>
                <w:bCs/>
                <w:sz w:val="20"/>
                <w:szCs w:val="20"/>
              </w:rPr>
              <w:t xml:space="preserve">Document</w:t>
            </w:r>
          </w:p>
        </w:tc>
        <w:tc>
          <w:tcPr>
            <w:tcW w:type="dxa" w:w="2400"/>
            <w:shd w:fill="E4EAEE" w:val="clear"/>
            <w:tcMar>
              <w:top w:type="dxa" w:w="80"/>
              <w:left w:type="dxa" w:w="110"/>
              <w:bottom w:type="dxa" w:w="80"/>
              <w:right w:type="dxa" w:w="110"/>
            </w:tcMar>
          </w:tcPr>
          <w:p>
            <w:r>
              <w:rPr>
                <w:b/>
                <w:bCs/>
                <w:sz w:val="20"/>
                <w:szCs w:val="20"/>
              </w:rPr>
              <w:t xml:space="preserve">Age</w:t>
            </w:r>
          </w:p>
        </w:tc>
        <w:tc>
          <w:tcPr>
            <w:tcW w:type="dxa" w:w="3560"/>
            <w:shd w:fill="E4EAEE" w:val="clear"/>
            <w:tcMar>
              <w:top w:type="dxa" w:w="80"/>
              <w:left w:type="dxa" w:w="110"/>
              <w:bottom w:type="dxa" w:w="80"/>
              <w:right w:type="dxa" w:w="110"/>
            </w:tcMar>
          </w:tcPr>
          <w:p>
            <w:r>
              <w:rPr>
                <w:b/>
                <w:bCs/>
                <w:sz w:val="20"/>
                <w:szCs w:val="20"/>
              </w:rPr>
              <w:t xml:space="preserve">Status</w:t>
            </w:r>
          </w:p>
        </w:tc>
      </w:tr>
      <w:tr>
        <w:trPr>
          <w:tblHeader w:val="false"/>
        </w:trPr>
        <w:tc>
          <w:tcPr>
            <w:tcW w:type="dxa" w:w="3400"/>
            <w:tcMar>
              <w:top w:type="dxa" w:w="80"/>
              <w:left w:type="dxa" w:w="110"/>
              <w:bottom w:type="dxa" w:w="80"/>
              <w:right w:type="dxa" w:w="110"/>
            </w:tcMar>
          </w:tcPr>
          <w:p>
            <w:r>
              <w:rPr>
                <w:b w:val="false"/>
                <w:bCs w:val="false"/>
                <w:sz w:val="20"/>
                <w:szCs w:val="20"/>
              </w:rPr>
              <w:t xml:space="preserve">Privacy policy v5</w:t>
            </w:r>
          </w:p>
        </w:tc>
        <w:tc>
          <w:tcPr>
            <w:tcW w:type="dxa" w:w="2400"/>
            <w:tcMar>
              <w:top w:type="dxa" w:w="80"/>
              <w:left w:type="dxa" w:w="110"/>
              <w:bottom w:type="dxa" w:w="80"/>
              <w:right w:type="dxa" w:w="110"/>
            </w:tcMar>
          </w:tcPr>
          <w:p>
            <w:r>
              <w:rPr>
                <w:b w:val="false"/>
                <w:bCs w:val="false"/>
                <w:sz w:val="20"/>
                <w:szCs w:val="20"/>
              </w:rPr>
              <w:t xml:space="preserve">18+</w:t>
            </w:r>
          </w:p>
        </w:tc>
        <w:tc>
          <w:tcPr>
            <w:tcW w:type="dxa" w:w="3560"/>
            <w:tcMar>
              <w:top w:type="dxa" w:w="80"/>
              <w:left w:type="dxa" w:w="110"/>
              <w:bottom w:type="dxa" w:w="80"/>
              <w:right w:type="dxa" w:w="110"/>
            </w:tcMar>
          </w:tcPr>
          <w:p>
            <w:r>
              <w:rPr>
                <w:b w:val="false"/>
                <w:bCs w:val="false"/>
                <w:sz w:val="20"/>
                <w:szCs w:val="20"/>
              </w:rPr>
              <w:t xml:space="preserve">Correct — matches the A1.11 decision of 15 Aug</w:t>
            </w:r>
          </w:p>
        </w:tc>
      </w:tr>
      <w:tr>
        <w:trPr>
          <w:tblHeader w:val="false"/>
        </w:trPr>
        <w:tc>
          <w:tcPr>
            <w:tcW w:type="dxa" w:w="3400"/>
            <w:tcMar>
              <w:top w:type="dxa" w:w="80"/>
              <w:left w:type="dxa" w:w="110"/>
              <w:bottom w:type="dxa" w:w="80"/>
              <w:right w:type="dxa" w:w="110"/>
            </w:tcMar>
          </w:tcPr>
          <w:p>
            <w:r>
              <w:rPr>
                <w:b w:val="false"/>
                <w:bCs w:val="false"/>
                <w:sz w:val="20"/>
                <w:szCs w:val="20"/>
              </w:rPr>
              <w:t xml:space="preserve">Terms of Service draft v2/v3</w:t>
            </w:r>
          </w:p>
        </w:tc>
        <w:tc>
          <w:tcPr>
            <w:tcW w:type="dxa" w:w="2400"/>
            <w:tcMar>
              <w:top w:type="dxa" w:w="80"/>
              <w:left w:type="dxa" w:w="110"/>
              <w:bottom w:type="dxa" w:w="80"/>
              <w:right w:type="dxa" w:w="110"/>
            </w:tcMar>
          </w:tcPr>
          <w:p>
            <w:r>
              <w:rPr>
                <w:b w:val="false"/>
                <w:bCs w:val="false"/>
                <w:sz w:val="20"/>
                <w:szCs w:val="20"/>
              </w:rPr>
              <w:t xml:space="preserve">13+</w:t>
            </w:r>
          </w:p>
        </w:tc>
        <w:tc>
          <w:tcPr>
            <w:tcW w:type="dxa" w:w="3560"/>
            <w:tcMar>
              <w:top w:type="dxa" w:w="80"/>
              <w:left w:type="dxa" w:w="110"/>
              <w:bottom w:type="dxa" w:w="80"/>
              <w:right w:type="dxa" w:w="110"/>
            </w:tcMar>
          </w:tcPr>
          <w:p>
            <w:r>
              <w:rPr>
                <w:b w:val="false"/>
                <w:bCs w:val="false"/>
                <w:sz w:val="20"/>
                <w:szCs w:val="20"/>
              </w:rPr>
              <w:t xml:space="preserve">Wrong — must be aligned</w:t>
            </w:r>
          </w:p>
        </w:tc>
      </w:tr>
      <w:tr>
        <w:trPr>
          <w:tblHeader w:val="false"/>
        </w:trPr>
        <w:tc>
          <w:tcPr>
            <w:tcW w:type="dxa" w:w="3400"/>
            <w:tcMar>
              <w:top w:type="dxa" w:w="80"/>
              <w:left w:type="dxa" w:w="110"/>
              <w:bottom w:type="dxa" w:w="80"/>
              <w:right w:type="dxa" w:w="110"/>
            </w:tcMar>
          </w:tcPr>
          <w:p>
            <w:r>
              <w:rPr>
                <w:b w:val="false"/>
                <w:bCs w:val="false"/>
                <w:sz w:val="20"/>
                <w:szCs w:val="20"/>
              </w:rPr>
              <w:t xml:space="preserve">Business documents</w:t>
            </w:r>
          </w:p>
        </w:tc>
        <w:tc>
          <w:tcPr>
            <w:tcW w:type="dxa" w:w="2400"/>
            <w:tcMar>
              <w:top w:type="dxa" w:w="80"/>
              <w:left w:type="dxa" w:w="110"/>
              <w:bottom w:type="dxa" w:w="80"/>
              <w:right w:type="dxa" w:w="110"/>
            </w:tcMar>
          </w:tcPr>
          <w:p>
            <w:r>
              <w:rPr>
                <w:b w:val="false"/>
                <w:bCs w:val="false"/>
                <w:sz w:val="20"/>
                <w:szCs w:val="20"/>
              </w:rPr>
              <w:t xml:space="preserve">16+</w:t>
            </w:r>
          </w:p>
        </w:tc>
        <w:tc>
          <w:tcPr>
            <w:tcW w:type="dxa" w:w="3560"/>
            <w:tcMar>
              <w:top w:type="dxa" w:w="80"/>
              <w:left w:type="dxa" w:w="110"/>
              <w:bottom w:type="dxa" w:w="80"/>
              <w:right w:type="dxa" w:w="110"/>
            </w:tcMar>
          </w:tcPr>
          <w:p>
            <w:r>
              <w:rPr>
                <w:b w:val="false"/>
                <w:bCs w:val="false"/>
                <w:sz w:val="20"/>
                <w:szCs w:val="20"/>
              </w:rPr>
              <w:t xml:space="preserve">Wrong — must be aligned</w:t>
            </w:r>
          </w:p>
        </w:tc>
      </w:tr>
      <w:tr>
        <w:trPr>
          <w:tblHeader w:val="false"/>
        </w:trPr>
        <w:tc>
          <w:tcPr>
            <w:tcW w:type="dxa" w:w="3400"/>
            <w:tcMar>
              <w:top w:type="dxa" w:w="80"/>
              <w:left w:type="dxa" w:w="110"/>
              <w:bottom w:type="dxa" w:w="80"/>
              <w:right w:type="dxa" w:w="110"/>
            </w:tcMar>
          </w:tcPr>
          <w:p>
            <w:r>
              <w:rPr>
                <w:b w:val="false"/>
                <w:bCs w:val="false"/>
                <w:sz w:val="20"/>
                <w:szCs w:val="20"/>
              </w:rPr>
              <w:t xml:space="preserve">The app</w:t>
            </w:r>
          </w:p>
        </w:tc>
        <w:tc>
          <w:tcPr>
            <w:tcW w:type="dxa" w:w="2400"/>
            <w:tcMar>
              <w:top w:type="dxa" w:w="80"/>
              <w:left w:type="dxa" w:w="110"/>
              <w:bottom w:type="dxa" w:w="80"/>
              <w:right w:type="dxa" w:w="110"/>
            </w:tcMar>
          </w:tcPr>
          <w:p>
            <w:r>
              <w:rPr>
                <w:b w:val="false"/>
                <w:bCs w:val="false"/>
                <w:sz w:val="20"/>
                <w:szCs w:val="20"/>
              </w:rPr>
              <w:t xml:space="preserve">No check running</w:t>
            </w:r>
          </w:p>
        </w:tc>
        <w:tc>
          <w:tcPr>
            <w:tcW w:type="dxa" w:w="3560"/>
            <w:tcMar>
              <w:top w:type="dxa" w:w="80"/>
              <w:left w:type="dxa" w:w="110"/>
              <w:bottom w:type="dxa" w:w="80"/>
              <w:right w:type="dxa" w:w="110"/>
            </w:tcMar>
          </w:tcPr>
          <w:p>
            <w:r>
              <w:rPr>
                <w:b w:val="false"/>
                <w:bCs w:val="false"/>
                <w:sz w:val="20"/>
                <w:szCs w:val="20"/>
              </w:rPr>
              <w:t xml:space="preserve">Age gate built and inert</w:t>
            </w:r>
          </w:p>
        </w:tc>
      </w:tr>
    </w:tbl>
    <w:p>
      <w:pPr>
        <w:spacing w:after="60"/>
      </w:pPr>
      <w:r>
        <w:rPr>
          <w:sz w:val="22"/>
          <w:szCs w:val="22"/>
        </w:rPr>
        <w:t xml:space="preserve"/>
      </w:r>
    </w:p>
    <w:p>
      <w:pPr>
        <w:spacing w:after="140"/>
      </w:pPr>
      <w:r>
        <w:rPr>
          <w:sz w:val="22"/>
          <w:szCs w:val="22"/>
        </w:rPr>
        <w:t xml:space="preserve">This is already logged in the master schedule as an open item. It is raised here because sending Foot Anstey a set of documents that contradict each other on the one point they have already told us is the highest-risk area would undo most of the credibility the drafting is meant to build. Align before sending.</w:t>
      </w:r>
    </w:p>
    <w:p>
      <w:pPr>
        <w:pStyle w:val="Heading1"/>
        <w:spacing w:after="160" w:before="360"/>
      </w:pPr>
      <w:r>
        <w:rPr>
          <w:b/>
          <w:bCs/>
          <w:color w:val="1F4E5F"/>
          <w:sz w:val="32"/>
          <w:szCs w:val="32"/>
        </w:rPr>
        <w:t xml:space="preserve">The register</w:t>
      </w:r>
    </w:p>
    <w:p>
      <w:pPr>
        <w:spacing w:after="140"/>
      </w:pPr>
      <w:r>
        <w:rPr>
          <w:sz w:val="22"/>
          <w:szCs w:val="22"/>
        </w:rPr>
        <w:t xml:space="preserve">Owner column: G means Graeme, FA means Foot Anstey, C means it can be drafted in a working session.</w:t>
      </w:r>
    </w:p>
    <w:p>
      <w:pPr>
        <w:pStyle w:val="Heading2"/>
        <w:spacing w:after="120" w:before="280"/>
      </w:pPr>
      <w:r>
        <w:rPr>
          <w:b/>
          <w:bCs/>
          <w:color w:val="1F4E5F"/>
          <w:sz w:val="26"/>
          <w:szCs w:val="26"/>
        </w:rPr>
        <w:t xml:space="preserve">A.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200"/>
        <w:gridCol w:w="3460"/>
      </w:tblGrid>
      <w:tr>
        <w:trPr>
          <w:tblHeader/>
        </w:trPr>
        <w:tc>
          <w:tcPr>
            <w:tcW w:type="dxa" w:w="700"/>
            <w:shd w:fill="E4EAEE" w:val="clear"/>
            <w:tcMar>
              <w:top w:type="dxa" w:w="80"/>
              <w:left w:type="dxa" w:w="110"/>
              <w:bottom w:type="dxa" w:w="80"/>
              <w:right w:type="dxa" w:w="110"/>
            </w:tcMar>
          </w:tcPr>
          <w:p>
            <w:r>
              <w:rPr>
                <w:b/>
                <w:bCs/>
                <w:sz w:val="20"/>
                <w:szCs w:val="20"/>
              </w:rPr>
              <w:t xml:space="preserve">Ref</w:t>
            </w:r>
          </w:p>
        </w:tc>
        <w:tc>
          <w:tcPr>
            <w:tcW w:type="dxa" w:w="4000"/>
            <w:shd w:fill="E4EAEE" w:val="clear"/>
            <w:tcMar>
              <w:top w:type="dxa" w:w="80"/>
              <w:left w:type="dxa" w:w="110"/>
              <w:bottom w:type="dxa" w:w="80"/>
              <w:right w:type="dxa" w:w="110"/>
            </w:tcMar>
          </w:tcPr>
          <w:p>
            <w:r>
              <w:rPr>
                <w:b/>
                <w:bCs/>
                <w:sz w:val="20"/>
                <w:szCs w:val="20"/>
              </w:rPr>
              <w:t xml:space="preserve">Obligation</w:t>
            </w:r>
          </w:p>
        </w:tc>
        <w:tc>
          <w:tcPr>
            <w:tcW w:type="dxa" w:w="1200"/>
            <w:shd w:fill="E4EAEE" w:val="clear"/>
            <w:tcMar>
              <w:top w:type="dxa" w:w="80"/>
              <w:left w:type="dxa" w:w="110"/>
              <w:bottom w:type="dxa" w:w="80"/>
              <w:right w:type="dxa" w:w="110"/>
            </w:tcMar>
          </w:tcPr>
          <w:p>
            <w:r>
              <w:rPr>
                <w:b/>
                <w:bCs/>
                <w:sz w:val="20"/>
                <w:szCs w:val="20"/>
              </w:rPr>
              <w:t xml:space="preserve">Owner</w:t>
            </w:r>
          </w:p>
        </w:tc>
        <w:tc>
          <w:tcPr>
            <w:tcW w:type="dxa" w:w="3460"/>
            <w:shd w:fill="E4EAEE" w:val="clear"/>
            <w:tcMar>
              <w:top w:type="dxa" w:w="80"/>
              <w:left w:type="dxa" w:w="110"/>
              <w:bottom w:type="dxa" w:w="80"/>
              <w:right w:type="dxa" w:w="110"/>
            </w:tcMar>
          </w:tcPr>
          <w:p>
            <w:r>
              <w:rPr>
                <w:b/>
                <w:bCs/>
                <w:sz w:val="20"/>
                <w:szCs w:val="20"/>
              </w:rPr>
              <w:t xml:space="preserve">Status</w:t>
            </w:r>
          </w:p>
        </w:tc>
      </w:tr>
      <w:tr>
        <w:trPr>
          <w:tblHeader w:val="false"/>
        </w:trPr>
        <w:tc>
          <w:tcPr>
            <w:tcW w:type="dxa" w:w="700"/>
            <w:tcMar>
              <w:top w:type="dxa" w:w="80"/>
              <w:left w:type="dxa" w:w="110"/>
              <w:bottom w:type="dxa" w:w="80"/>
              <w:right w:type="dxa" w:w="110"/>
            </w:tcMar>
          </w:tcPr>
          <w:p>
            <w:r>
              <w:rPr>
                <w:b w:val="false"/>
                <w:bCs w:val="false"/>
                <w:sz w:val="20"/>
                <w:szCs w:val="20"/>
              </w:rPr>
              <w:t xml:space="preserve">A1</w:t>
            </w:r>
          </w:p>
        </w:tc>
        <w:tc>
          <w:tcPr>
            <w:tcW w:type="dxa" w:w="4000"/>
            <w:tcMar>
              <w:top w:type="dxa" w:w="80"/>
              <w:left w:type="dxa" w:w="110"/>
              <w:bottom w:type="dxa" w:w="80"/>
              <w:right w:type="dxa" w:w="110"/>
            </w:tcMar>
          </w:tcPr>
          <w:p>
            <w:r>
              <w:rPr>
                <w:b w:val="false"/>
                <w:bCs w:val="false"/>
                <w:sz w:val="20"/>
                <w:szCs w:val="20"/>
              </w:rPr>
              <w:t xml:space="preserve">Adult privacy policy drafted against the ICO Article 13 checklist</w:t>
            </w:r>
          </w:p>
        </w:tc>
        <w:tc>
          <w:tcPr>
            <w:tcW w:type="dxa" w:w="1200"/>
            <w:tcMar>
              <w:top w:type="dxa" w:w="80"/>
              <w:left w:type="dxa" w:w="110"/>
              <w:bottom w:type="dxa" w:w="80"/>
              <w:right w:type="dxa" w:w="110"/>
            </w:tcMar>
          </w:tcPr>
          <w:p>
            <w:r>
              <w:rPr>
                <w:b w:val="false"/>
                <w:bCs w:val="false"/>
                <w:sz w:val="20"/>
                <w:szCs w:val="20"/>
              </w:rPr>
              <w:t xml:space="preserve">C</w:t>
            </w:r>
          </w:p>
        </w:tc>
        <w:tc>
          <w:tcPr>
            <w:tcW w:type="dxa" w:w="3460"/>
            <w:tcMar>
              <w:top w:type="dxa" w:w="80"/>
              <w:left w:type="dxa" w:w="110"/>
              <w:bottom w:type="dxa" w:w="80"/>
              <w:right w:type="dxa" w:w="110"/>
            </w:tcMar>
          </w:tcPr>
          <w:p>
            <w:r>
              <w:rPr>
                <w:b w:val="false"/>
                <w:bCs w:val="false"/>
                <w:sz w:val="20"/>
                <w:szCs w:val="20"/>
              </w:rPr>
              <w:t xml:space="preserve">v5, 28 Aug. Annotated against sources.</w:t>
            </w:r>
          </w:p>
        </w:tc>
      </w:tr>
      <w:tr>
        <w:trPr>
          <w:tblHeader w:val="false"/>
        </w:trPr>
        <w:tc>
          <w:tcPr>
            <w:tcW w:type="dxa" w:w="700"/>
            <w:tcMar>
              <w:top w:type="dxa" w:w="80"/>
              <w:left w:type="dxa" w:w="110"/>
              <w:bottom w:type="dxa" w:w="80"/>
              <w:right w:type="dxa" w:w="110"/>
            </w:tcMar>
          </w:tcPr>
          <w:p>
            <w:r>
              <w:rPr>
                <w:b w:val="false"/>
                <w:bCs w:val="false"/>
                <w:sz w:val="20"/>
                <w:szCs w:val="20"/>
              </w:rPr>
              <w:t xml:space="preserve">A2</w:t>
            </w:r>
          </w:p>
        </w:tc>
        <w:tc>
          <w:tcPr>
            <w:tcW w:type="dxa" w:w="4000"/>
            <w:tcMar>
              <w:top w:type="dxa" w:w="80"/>
              <w:left w:type="dxa" w:w="110"/>
              <w:bottom w:type="dxa" w:w="80"/>
              <w:right w:type="dxa" w:w="110"/>
            </w:tcMar>
          </w:tcPr>
          <w:p>
            <w:r>
              <w:rPr>
                <w:b w:val="false"/>
                <w:bCs w:val="false"/>
                <w:sz w:val="20"/>
                <w:szCs w:val="20"/>
              </w:rPr>
              <w:t xml:space="preserve">DPIA</w:t>
            </w:r>
          </w:p>
        </w:tc>
        <w:tc>
          <w:tcPr>
            <w:tcW w:type="dxa" w:w="1200"/>
            <w:tcMar>
              <w:top w:type="dxa" w:w="80"/>
              <w:left w:type="dxa" w:w="110"/>
              <w:bottom w:type="dxa" w:w="80"/>
              <w:right w:type="dxa" w:w="110"/>
            </w:tcMar>
          </w:tcPr>
          <w:p>
            <w:r>
              <w:rPr>
                <w:b w:val="false"/>
                <w:bCs w:val="false"/>
                <w:sz w:val="20"/>
                <w:szCs w:val="20"/>
              </w:rPr>
              <w:t xml:space="preserve">C</w:t>
            </w:r>
          </w:p>
        </w:tc>
        <w:tc>
          <w:tcPr>
            <w:tcW w:type="dxa" w:w="3460"/>
            <w:tcMar>
              <w:top w:type="dxa" w:w="80"/>
              <w:left w:type="dxa" w:w="110"/>
              <w:bottom w:type="dxa" w:w="80"/>
              <w:right w:type="dxa" w:w="110"/>
            </w:tcMar>
          </w:tcPr>
          <w:p>
            <w:r>
              <w:rPr>
                <w:b w:val="false"/>
                <w:bCs w:val="false"/>
                <w:sz w:val="20"/>
                <w:szCs w:val="20"/>
              </w:rPr>
              <w:t xml:space="preserve">v1 drafted 28 Aug. Steps 1–6 complete, Step 7 needs Graeme.</w:t>
            </w:r>
          </w:p>
        </w:tc>
      </w:tr>
      <w:tr>
        <w:trPr>
          <w:tblHeader w:val="false"/>
        </w:trPr>
        <w:tc>
          <w:tcPr>
            <w:tcW w:type="dxa" w:w="700"/>
            <w:tcMar>
              <w:top w:type="dxa" w:w="80"/>
              <w:left w:type="dxa" w:w="110"/>
              <w:bottom w:type="dxa" w:w="80"/>
              <w:right w:type="dxa" w:w="110"/>
            </w:tcMar>
          </w:tcPr>
          <w:p>
            <w:r>
              <w:rPr>
                <w:b w:val="false"/>
                <w:bCs w:val="false"/>
                <w:sz w:val="20"/>
                <w:szCs w:val="20"/>
              </w:rPr>
              <w:t xml:space="preserve">A3</w:t>
            </w:r>
          </w:p>
        </w:tc>
        <w:tc>
          <w:tcPr>
            <w:tcW w:type="dxa" w:w="4000"/>
            <w:tcMar>
              <w:top w:type="dxa" w:w="80"/>
              <w:left w:type="dxa" w:w="110"/>
              <w:bottom w:type="dxa" w:w="80"/>
              <w:right w:type="dxa" w:w="110"/>
            </w:tcMar>
          </w:tcPr>
          <w:p>
            <w:r>
              <w:rPr>
                <w:b w:val="false"/>
                <w:bCs w:val="false"/>
                <w:sz w:val="20"/>
                <w:szCs w:val="20"/>
              </w:rPr>
              <w:t xml:space="preserve">Crisis and safeguarding policy</w:t>
            </w:r>
          </w:p>
        </w:tc>
        <w:tc>
          <w:tcPr>
            <w:tcW w:type="dxa" w:w="1200"/>
            <w:tcMar>
              <w:top w:type="dxa" w:w="80"/>
              <w:left w:type="dxa" w:w="110"/>
              <w:bottom w:type="dxa" w:w="80"/>
              <w:right w:type="dxa" w:w="110"/>
            </w:tcMar>
          </w:tcPr>
          <w:p>
            <w:r>
              <w:rPr>
                <w:b w:val="false"/>
                <w:bCs w:val="false"/>
                <w:sz w:val="20"/>
                <w:szCs w:val="20"/>
              </w:rPr>
              <w:t xml:space="preserve">G</w:t>
            </w:r>
          </w:p>
        </w:tc>
        <w:tc>
          <w:tcPr>
            <w:tcW w:type="dxa" w:w="3460"/>
            <w:tcMar>
              <w:top w:type="dxa" w:w="80"/>
              <w:left w:type="dxa" w:w="110"/>
              <w:bottom w:type="dxa" w:w="80"/>
              <w:right w:type="dxa" w:w="110"/>
            </w:tcMar>
          </w:tcPr>
          <w:p>
            <w:r>
              <w:rPr>
                <w:b w:val="false"/>
                <w:bCs w:val="false"/>
                <w:sz w:val="20"/>
                <w:szCs w:val="20"/>
              </w:rPr>
              <w:t xml:space="preserve">v7, 23 Jul. Written, unreviewed.</w:t>
            </w:r>
          </w:p>
        </w:tc>
      </w:tr>
      <w:tr>
        <w:trPr>
          <w:tblHeader w:val="false"/>
        </w:trPr>
        <w:tc>
          <w:tcPr>
            <w:tcW w:type="dxa" w:w="700"/>
            <w:tcMar>
              <w:top w:type="dxa" w:w="80"/>
              <w:left w:type="dxa" w:w="110"/>
              <w:bottom w:type="dxa" w:w="80"/>
              <w:right w:type="dxa" w:w="110"/>
            </w:tcMar>
          </w:tcPr>
          <w:p>
            <w:r>
              <w:rPr>
                <w:b w:val="false"/>
                <w:bCs w:val="false"/>
                <w:sz w:val="20"/>
                <w:szCs w:val="20"/>
              </w:rPr>
              <w:t xml:space="preserve">A4</w:t>
            </w:r>
          </w:p>
        </w:tc>
        <w:tc>
          <w:tcPr>
            <w:tcW w:type="dxa" w:w="4000"/>
            <w:tcMar>
              <w:top w:type="dxa" w:w="80"/>
              <w:left w:type="dxa" w:w="110"/>
              <w:bottom w:type="dxa" w:w="80"/>
              <w:right w:type="dxa" w:w="110"/>
            </w:tcMar>
          </w:tcPr>
          <w:p>
            <w:r>
              <w:rPr>
                <w:b w:val="false"/>
                <w:bCs w:val="false"/>
                <w:sz w:val="20"/>
                <w:szCs w:val="20"/>
              </w:rPr>
              <w:t xml:space="preserve">Terms of Service</w:t>
            </w:r>
          </w:p>
        </w:tc>
        <w:tc>
          <w:tcPr>
            <w:tcW w:type="dxa" w:w="1200"/>
            <w:tcMar>
              <w:top w:type="dxa" w:w="80"/>
              <w:left w:type="dxa" w:w="110"/>
              <w:bottom w:type="dxa" w:w="80"/>
              <w:right w:type="dxa" w:w="110"/>
            </w:tcMar>
          </w:tcPr>
          <w:p>
            <w:r>
              <w:rPr>
                <w:b w:val="false"/>
                <w:bCs w:val="false"/>
                <w:sz w:val="20"/>
                <w:szCs w:val="20"/>
              </w:rPr>
              <w:t xml:space="preserve">G</w:t>
            </w:r>
          </w:p>
        </w:tc>
        <w:tc>
          <w:tcPr>
            <w:tcW w:type="dxa" w:w="3460"/>
            <w:tcMar>
              <w:top w:type="dxa" w:w="80"/>
              <w:left w:type="dxa" w:w="110"/>
              <w:bottom w:type="dxa" w:w="80"/>
              <w:right w:type="dxa" w:w="110"/>
            </w:tcMar>
          </w:tcPr>
          <w:p>
            <w:r>
              <w:rPr>
                <w:b w:val="false"/>
                <w:bCs w:val="false"/>
                <w:sz w:val="20"/>
                <w:szCs w:val="20"/>
              </w:rPr>
              <w:t xml:space="preserve">Draft v3. Two open questions for Natalie. Age needs aligning.</w:t>
            </w:r>
          </w:p>
        </w:tc>
      </w:tr>
      <w:tr>
        <w:trPr>
          <w:tblHeader w:val="false"/>
        </w:trPr>
        <w:tc>
          <w:tcPr>
            <w:tcW w:type="dxa" w:w="700"/>
            <w:tcMar>
              <w:top w:type="dxa" w:w="80"/>
              <w:left w:type="dxa" w:w="110"/>
              <w:bottom w:type="dxa" w:w="80"/>
              <w:right w:type="dxa" w:w="110"/>
            </w:tcMar>
          </w:tcPr>
          <w:p>
            <w:r>
              <w:rPr>
                <w:b w:val="false"/>
                <w:bCs w:val="false"/>
                <w:sz w:val="20"/>
                <w:szCs w:val="20"/>
              </w:rPr>
              <w:t xml:space="preserve">A5</w:t>
            </w:r>
          </w:p>
        </w:tc>
        <w:tc>
          <w:tcPr>
            <w:tcW w:type="dxa" w:w="4000"/>
            <w:tcMar>
              <w:top w:type="dxa" w:w="80"/>
              <w:left w:type="dxa" w:w="110"/>
              <w:bottom w:type="dxa" w:w="80"/>
              <w:right w:type="dxa" w:w="110"/>
            </w:tcMar>
          </w:tcPr>
          <w:p>
            <w:r>
              <w:rPr>
                <w:b w:val="false"/>
                <w:bCs w:val="false"/>
                <w:sz w:val="20"/>
                <w:szCs w:val="20"/>
              </w:rPr>
              <w:t xml:space="preserve">Sentry configured to scrub health terms; EU region</w:t>
            </w:r>
          </w:p>
        </w:tc>
        <w:tc>
          <w:tcPr>
            <w:tcW w:type="dxa" w:w="1200"/>
            <w:tcMar>
              <w:top w:type="dxa" w:w="80"/>
              <w:left w:type="dxa" w:w="110"/>
              <w:bottom w:type="dxa" w:w="80"/>
              <w:right w:type="dxa" w:w="110"/>
            </w:tcMar>
          </w:tcPr>
          <w:p>
            <w:r>
              <w:rPr>
                <w:b w:val="false"/>
                <w:bCs w:val="false"/>
                <w:sz w:val="20"/>
                <w:szCs w:val="20"/>
              </w:rPr>
              <w:t xml:space="preserve">G</w:t>
            </w:r>
          </w:p>
        </w:tc>
        <w:tc>
          <w:tcPr>
            <w:tcW w:type="dxa" w:w="3460"/>
            <w:tcMar>
              <w:top w:type="dxa" w:w="80"/>
              <w:left w:type="dxa" w:w="110"/>
              <w:bottom w:type="dxa" w:w="80"/>
              <w:right w:type="dxa" w:w="110"/>
            </w:tcMar>
          </w:tcPr>
          <w:p>
            <w:r>
              <w:rPr>
                <w:b w:val="false"/>
                <w:bCs w:val="false"/>
                <w:sz w:val="20"/>
                <w:szCs w:val="20"/>
              </w:rPr>
              <w:t xml:space="preserve">Live, untested adversarially</w:t>
            </w:r>
          </w:p>
        </w:tc>
      </w:tr>
      <w:tr>
        <w:trPr>
          <w:tblHeader w:val="false"/>
        </w:trPr>
        <w:tc>
          <w:tcPr>
            <w:tcW w:type="dxa" w:w="700"/>
            <w:tcMar>
              <w:top w:type="dxa" w:w="80"/>
              <w:left w:type="dxa" w:w="110"/>
              <w:bottom w:type="dxa" w:w="80"/>
              <w:right w:type="dxa" w:w="110"/>
            </w:tcMar>
          </w:tcPr>
          <w:p>
            <w:r>
              <w:rPr>
                <w:b w:val="false"/>
                <w:bCs w:val="false"/>
                <w:sz w:val="20"/>
                <w:szCs w:val="20"/>
              </w:rPr>
              <w:t xml:space="preserve">A6</w:t>
            </w:r>
          </w:p>
        </w:tc>
        <w:tc>
          <w:tcPr>
            <w:tcW w:type="dxa" w:w="4000"/>
            <w:tcMar>
              <w:top w:type="dxa" w:w="80"/>
              <w:left w:type="dxa" w:w="110"/>
              <w:bottom w:type="dxa" w:w="80"/>
              <w:right w:type="dxa" w:w="110"/>
            </w:tcMar>
          </w:tcPr>
          <w:p>
            <w:r>
              <w:rPr>
                <w:b w:val="false"/>
                <w:bCs w:val="false"/>
                <w:sz w:val="20"/>
                <w:szCs w:val="20"/>
              </w:rPr>
              <w:t xml:space="preserve">Plausible — no cookies, no personal data</w:t>
            </w:r>
          </w:p>
        </w:tc>
        <w:tc>
          <w:tcPr>
            <w:tcW w:type="dxa" w:w="1200"/>
            <w:tcMar>
              <w:top w:type="dxa" w:w="80"/>
              <w:left w:type="dxa" w:w="110"/>
              <w:bottom w:type="dxa" w:w="80"/>
              <w:right w:type="dxa" w:w="110"/>
            </w:tcMar>
          </w:tcPr>
          <w:p>
            <w:r>
              <w:rPr>
                <w:b w:val="false"/>
                <w:bCs w:val="false"/>
                <w:sz w:val="20"/>
                <w:szCs w:val="20"/>
              </w:rPr>
              <w:t xml:space="preserve">G</w:t>
            </w:r>
          </w:p>
        </w:tc>
        <w:tc>
          <w:tcPr>
            <w:tcW w:type="dxa" w:w="3460"/>
            <w:tcMar>
              <w:top w:type="dxa" w:w="80"/>
              <w:left w:type="dxa" w:w="110"/>
              <w:bottom w:type="dxa" w:w="80"/>
              <w:right w:type="dxa" w:w="110"/>
            </w:tcMar>
          </w:tcPr>
          <w:p>
            <w:r>
              <w:rPr>
                <w:b w:val="false"/>
                <w:bCs w:val="false"/>
                <w:sz w:val="20"/>
                <w:szCs w:val="20"/>
              </w:rPr>
              <w:t xml:space="preserve">Live</w:t>
            </w:r>
          </w:p>
        </w:tc>
      </w:tr>
      <w:tr>
        <w:trPr>
          <w:tblHeader w:val="false"/>
        </w:trPr>
        <w:tc>
          <w:tcPr>
            <w:tcW w:type="dxa" w:w="700"/>
            <w:tcMar>
              <w:top w:type="dxa" w:w="80"/>
              <w:left w:type="dxa" w:w="110"/>
              <w:bottom w:type="dxa" w:w="80"/>
              <w:right w:type="dxa" w:w="110"/>
            </w:tcMar>
          </w:tcPr>
          <w:p>
            <w:r>
              <w:rPr>
                <w:b w:val="false"/>
                <w:bCs w:val="false"/>
                <w:sz w:val="20"/>
                <w:szCs w:val="20"/>
              </w:rPr>
              <w:t xml:space="preserve">A7</w:t>
            </w:r>
          </w:p>
        </w:tc>
        <w:tc>
          <w:tcPr>
            <w:tcW w:type="dxa" w:w="4000"/>
            <w:tcMar>
              <w:top w:type="dxa" w:w="80"/>
              <w:left w:type="dxa" w:w="110"/>
              <w:bottom w:type="dxa" w:w="80"/>
              <w:right w:type="dxa" w:w="110"/>
            </w:tcMar>
          </w:tcPr>
          <w:p>
            <w:r>
              <w:rPr>
                <w:b w:val="false"/>
                <w:bCs w:val="false"/>
                <w:sz w:val="20"/>
                <w:szCs w:val="20"/>
              </w:rPr>
              <w:t xml:space="preserve">Journal privacy rule enforced in code and held by a gate</w:t>
            </w:r>
          </w:p>
        </w:tc>
        <w:tc>
          <w:tcPr>
            <w:tcW w:type="dxa" w:w="1200"/>
            <w:tcMar>
              <w:top w:type="dxa" w:w="80"/>
              <w:left w:type="dxa" w:w="110"/>
              <w:bottom w:type="dxa" w:w="80"/>
              <w:right w:type="dxa" w:w="110"/>
            </w:tcMar>
          </w:tcPr>
          <w:p>
            <w:r>
              <w:rPr>
                <w:b w:val="false"/>
                <w:bCs w:val="false"/>
                <w:sz w:val="20"/>
                <w:szCs w:val="20"/>
              </w:rPr>
              <w:t xml:space="preserve">G</w:t>
            </w:r>
          </w:p>
        </w:tc>
        <w:tc>
          <w:tcPr>
            <w:tcW w:type="dxa" w:w="3460"/>
            <w:tcMar>
              <w:top w:type="dxa" w:w="80"/>
              <w:left w:type="dxa" w:w="110"/>
              <w:bottom w:type="dxa" w:w="80"/>
              <w:right w:type="dxa" w:w="110"/>
            </w:tcMar>
          </w:tcPr>
          <w:p>
            <w:r>
              <w:rPr>
                <w:b w:val="false"/>
                <w:bCs w:val="false"/>
                <w:sz w:val="20"/>
                <w:szCs w:val="20"/>
              </w:rPr>
              <w:t xml:space="preserve">Live</w:t>
            </w:r>
          </w:p>
        </w:tc>
      </w:tr>
    </w:tbl>
    <w:p>
      <w:pPr>
        <w:pStyle w:val="Heading2"/>
        <w:spacing w:after="120" w:before="280"/>
      </w:pPr>
      <w:r>
        <w:rPr>
          <w:b/>
          <w:bCs/>
          <w:color w:val="1F4E5F"/>
          <w:sz w:val="26"/>
          <w:szCs w:val="26"/>
        </w:rPr>
        <w:t xml:space="preserve">B. Blocked, or believed to be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200"/>
        <w:gridCol w:w="4060"/>
      </w:tblGrid>
      <w:tr>
        <w:trPr>
          <w:tblHeader/>
        </w:trPr>
        <w:tc>
          <w:tcPr>
            <w:tcW w:type="dxa" w:w="700"/>
            <w:shd w:fill="E4EAEE" w:val="clear"/>
            <w:tcMar>
              <w:top w:type="dxa" w:w="80"/>
              <w:left w:type="dxa" w:w="110"/>
              <w:bottom w:type="dxa" w:w="80"/>
              <w:right w:type="dxa" w:w="110"/>
            </w:tcMar>
          </w:tcPr>
          <w:p>
            <w:r>
              <w:rPr>
                <w:b/>
                <w:bCs/>
                <w:sz w:val="20"/>
                <w:szCs w:val="20"/>
              </w:rPr>
              <w:t xml:space="preserve">Ref</w:t>
            </w:r>
          </w:p>
        </w:tc>
        <w:tc>
          <w:tcPr>
            <w:tcW w:type="dxa" w:w="3400"/>
            <w:shd w:fill="E4EAEE" w:val="clear"/>
            <w:tcMar>
              <w:top w:type="dxa" w:w="80"/>
              <w:left w:type="dxa" w:w="110"/>
              <w:bottom w:type="dxa" w:w="80"/>
              <w:right w:type="dxa" w:w="110"/>
            </w:tcMar>
          </w:tcPr>
          <w:p>
            <w:r>
              <w:rPr>
                <w:b/>
                <w:bCs/>
                <w:sz w:val="20"/>
                <w:szCs w:val="20"/>
              </w:rPr>
              <w:t xml:space="preserve">Obligation</w:t>
            </w:r>
          </w:p>
        </w:tc>
        <w:tc>
          <w:tcPr>
            <w:tcW w:type="dxa" w:w="1200"/>
            <w:shd w:fill="E4EAEE" w:val="clear"/>
            <w:tcMar>
              <w:top w:type="dxa" w:w="80"/>
              <w:left w:type="dxa" w:w="110"/>
              <w:bottom w:type="dxa" w:w="80"/>
              <w:right w:type="dxa" w:w="110"/>
            </w:tcMar>
          </w:tcPr>
          <w:p>
            <w:r>
              <w:rPr>
                <w:b/>
                <w:bCs/>
                <w:sz w:val="20"/>
                <w:szCs w:val="20"/>
              </w:rPr>
              <w:t xml:space="preserve">Owner</w:t>
            </w:r>
          </w:p>
        </w:tc>
        <w:tc>
          <w:tcPr>
            <w:tcW w:type="dxa" w:w="4060"/>
            <w:shd w:fill="E4EAEE" w:val="clear"/>
            <w:tcMar>
              <w:top w:type="dxa" w:w="80"/>
              <w:left w:type="dxa" w:w="110"/>
              <w:bottom w:type="dxa" w:w="80"/>
              <w:right w:type="dxa" w:w="110"/>
            </w:tcMar>
          </w:tcPr>
          <w:p>
            <w:r>
              <w:rPr>
                <w:b/>
                <w:bCs/>
                <w:sz w:val="20"/>
                <w:szCs w:val="20"/>
              </w:rPr>
              <w:t xml:space="preserve">Blocker, and whether it is real</w:t>
            </w:r>
          </w:p>
        </w:tc>
      </w:tr>
      <w:tr>
        <w:trPr>
          <w:tblHeader w:val="false"/>
        </w:trPr>
        <w:tc>
          <w:tcPr>
            <w:tcW w:type="dxa" w:w="700"/>
            <w:tcMar>
              <w:top w:type="dxa" w:w="80"/>
              <w:left w:type="dxa" w:w="110"/>
              <w:bottom w:type="dxa" w:w="80"/>
              <w:right w:type="dxa" w:w="110"/>
            </w:tcMar>
          </w:tcPr>
          <w:p>
            <w:r>
              <w:rPr>
                <w:b w:val="false"/>
                <w:bCs w:val="false"/>
                <w:sz w:val="20"/>
                <w:szCs w:val="20"/>
              </w:rPr>
              <w:t xml:space="preserve">B1</w:t>
            </w:r>
          </w:p>
        </w:tc>
        <w:tc>
          <w:tcPr>
            <w:tcW w:type="dxa" w:w="3400"/>
            <w:tcMar>
              <w:top w:type="dxa" w:w="80"/>
              <w:left w:type="dxa" w:w="110"/>
              <w:bottom w:type="dxa" w:w="80"/>
              <w:right w:type="dxa" w:w="110"/>
            </w:tcMar>
          </w:tcPr>
          <w:p>
            <w:r>
              <w:rPr>
                <w:b w:val="false"/>
                <w:bCs w:val="false"/>
                <w:sz w:val="20"/>
                <w:szCs w:val="20"/>
              </w:rPr>
              <w:t xml:space="preserve">HMRC sole trader registration</w:t>
            </w:r>
          </w:p>
        </w:tc>
        <w:tc>
          <w:tcPr>
            <w:tcW w:type="dxa" w:w="1200"/>
            <w:tcMar>
              <w:top w:type="dxa" w:w="80"/>
              <w:left w:type="dxa" w:w="110"/>
              <w:bottom w:type="dxa" w:w="80"/>
              <w:right w:type="dxa" w:w="110"/>
            </w:tcMar>
          </w:tcPr>
          <w:p>
            <w:r>
              <w:rPr>
                <w:b w:val="false"/>
                <w:bCs w:val="false"/>
                <w:sz w:val="20"/>
                <w:szCs w:val="20"/>
              </w:rPr>
              <w:t xml:space="preserve">G</w:t>
            </w:r>
          </w:p>
        </w:tc>
        <w:tc>
          <w:tcPr>
            <w:tcW w:type="dxa" w:w="4060"/>
            <w:tcMar>
              <w:top w:type="dxa" w:w="80"/>
              <w:left w:type="dxa" w:w="110"/>
              <w:bottom w:type="dxa" w:w="80"/>
              <w:right w:type="dxa" w:w="110"/>
            </w:tcMar>
          </w:tcPr>
          <w:p>
            <w:r>
              <w:rPr>
                <w:b w:val="false"/>
                <w:bCs w:val="false"/>
                <w:sz w:val="20"/>
                <w:szCs w:val="20"/>
              </w:rPr>
              <w:t xml:space="preserve">Waiting on the confirmation letter. Genuinely blocked, genuinely close.</w:t>
            </w:r>
          </w:p>
        </w:tc>
      </w:tr>
      <w:tr>
        <w:trPr>
          <w:tblHeader w:val="false"/>
        </w:trPr>
        <w:tc>
          <w:tcPr>
            <w:tcW w:type="dxa" w:w="700"/>
            <w:tcMar>
              <w:top w:type="dxa" w:w="80"/>
              <w:left w:type="dxa" w:w="110"/>
              <w:bottom w:type="dxa" w:w="80"/>
              <w:right w:type="dxa" w:w="110"/>
            </w:tcMar>
          </w:tcPr>
          <w:p>
            <w:r>
              <w:rPr>
                <w:b w:val="false"/>
                <w:bCs w:val="false"/>
                <w:sz w:val="20"/>
                <w:szCs w:val="20"/>
              </w:rPr>
              <w:t xml:space="preserve">B2</w:t>
            </w:r>
          </w:p>
        </w:tc>
        <w:tc>
          <w:tcPr>
            <w:tcW w:type="dxa" w:w="3400"/>
            <w:tcMar>
              <w:top w:type="dxa" w:w="80"/>
              <w:left w:type="dxa" w:w="110"/>
              <w:bottom w:type="dxa" w:w="80"/>
              <w:right w:type="dxa" w:w="110"/>
            </w:tcMar>
          </w:tcPr>
          <w:p>
            <w:r>
              <w:rPr>
                <w:b w:val="false"/>
                <w:bCs w:val="false"/>
                <w:sz w:val="20"/>
                <w:szCs w:val="20"/>
              </w:rPr>
              <w:t xml:space="preserve">Business bank account</w:t>
            </w:r>
          </w:p>
        </w:tc>
        <w:tc>
          <w:tcPr>
            <w:tcW w:type="dxa" w:w="1200"/>
            <w:tcMar>
              <w:top w:type="dxa" w:w="80"/>
              <w:left w:type="dxa" w:w="110"/>
              <w:bottom w:type="dxa" w:w="80"/>
              <w:right w:type="dxa" w:w="110"/>
            </w:tcMar>
          </w:tcPr>
          <w:p>
            <w:r>
              <w:rPr>
                <w:b w:val="false"/>
                <w:bCs w:val="false"/>
                <w:sz w:val="20"/>
                <w:szCs w:val="20"/>
              </w:rPr>
              <w:t xml:space="preserve">G</w:t>
            </w:r>
          </w:p>
        </w:tc>
        <w:tc>
          <w:tcPr>
            <w:tcW w:type="dxa" w:w="4060"/>
            <w:tcMar>
              <w:top w:type="dxa" w:w="80"/>
              <w:left w:type="dxa" w:w="110"/>
              <w:bottom w:type="dxa" w:w="80"/>
              <w:right w:type="dxa" w:w="110"/>
            </w:tcMar>
          </w:tcPr>
          <w:p>
            <w:r>
              <w:rPr>
                <w:b w:val="false"/>
                <w:bCs w:val="false"/>
                <w:sz w:val="20"/>
                <w:szCs w:val="20"/>
              </w:rPr>
              <w:t xml:space="preserve">Blocked on B1. Real.</w:t>
            </w:r>
          </w:p>
        </w:tc>
      </w:tr>
      <w:tr>
        <w:trPr>
          <w:tblHeader w:val="false"/>
        </w:trPr>
        <w:tc>
          <w:tcPr>
            <w:tcW w:type="dxa" w:w="700"/>
            <w:tcMar>
              <w:top w:type="dxa" w:w="80"/>
              <w:left w:type="dxa" w:w="110"/>
              <w:bottom w:type="dxa" w:w="80"/>
              <w:right w:type="dxa" w:w="110"/>
            </w:tcMar>
          </w:tcPr>
          <w:p>
            <w:r>
              <w:rPr>
                <w:b w:val="false"/>
                <w:bCs w:val="false"/>
                <w:sz w:val="20"/>
                <w:szCs w:val="20"/>
              </w:rPr>
              <w:t xml:space="preserve">B3</w:t>
            </w:r>
          </w:p>
        </w:tc>
        <w:tc>
          <w:tcPr>
            <w:tcW w:type="dxa" w:w="3400"/>
            <w:tcMar>
              <w:top w:type="dxa" w:w="80"/>
              <w:left w:type="dxa" w:w="110"/>
              <w:bottom w:type="dxa" w:w="80"/>
              <w:right w:type="dxa" w:w="110"/>
            </w:tcMar>
          </w:tcPr>
          <w:p>
            <w:r>
              <w:rPr>
                <w:b w:val="false"/>
                <w:bCs w:val="false"/>
                <w:sz w:val="20"/>
                <w:szCs w:val="20"/>
              </w:rPr>
              <w:t xml:space="preserve">ICO registration and data protection fee</w:t>
            </w:r>
          </w:p>
        </w:tc>
        <w:tc>
          <w:tcPr>
            <w:tcW w:type="dxa" w:w="1200"/>
            <w:tcMar>
              <w:top w:type="dxa" w:w="80"/>
              <w:left w:type="dxa" w:w="110"/>
              <w:bottom w:type="dxa" w:w="80"/>
              <w:right w:type="dxa" w:w="110"/>
            </w:tcMar>
          </w:tcPr>
          <w:p>
            <w:r>
              <w:rPr>
                <w:b w:val="false"/>
                <w:bCs w:val="false"/>
                <w:sz w:val="20"/>
                <w:szCs w:val="20"/>
              </w:rPr>
              <w:t xml:space="preserve">G</w:t>
            </w:r>
          </w:p>
        </w:tc>
        <w:tc>
          <w:tcPr>
            <w:tcW w:type="dxa" w:w="4060"/>
            <w:tcMar>
              <w:top w:type="dxa" w:w="80"/>
              <w:left w:type="dxa" w:w="110"/>
              <w:bottom w:type="dxa" w:w="80"/>
              <w:right w:type="dxa" w:w="110"/>
            </w:tcMar>
          </w:tcPr>
          <w:p>
            <w:r>
              <w:rPr>
                <w:b w:val="false"/>
                <w:bCs w:val="false"/>
                <w:sz w:val="20"/>
                <w:szCs w:val="20"/>
              </w:rPr>
              <w:t xml:space="preserve">Believed blocked on B1. Worth testing — see note below.</w:t>
            </w:r>
          </w:p>
        </w:tc>
      </w:tr>
      <w:tr>
        <w:trPr>
          <w:tblHeader w:val="false"/>
        </w:trPr>
        <w:tc>
          <w:tcPr>
            <w:tcW w:type="dxa" w:w="700"/>
            <w:tcMar>
              <w:top w:type="dxa" w:w="80"/>
              <w:left w:type="dxa" w:w="110"/>
              <w:bottom w:type="dxa" w:w="80"/>
              <w:right w:type="dxa" w:w="110"/>
            </w:tcMar>
          </w:tcPr>
          <w:p>
            <w:r>
              <w:rPr>
                <w:b w:val="false"/>
                <w:bCs w:val="false"/>
                <w:sz w:val="20"/>
                <w:szCs w:val="20"/>
              </w:rPr>
              <w:t xml:space="preserve">B4</w:t>
            </w:r>
          </w:p>
        </w:tc>
        <w:tc>
          <w:tcPr>
            <w:tcW w:type="dxa" w:w="3400"/>
            <w:tcMar>
              <w:top w:type="dxa" w:w="80"/>
              <w:left w:type="dxa" w:w="110"/>
              <w:bottom w:type="dxa" w:w="80"/>
              <w:right w:type="dxa" w:w="110"/>
            </w:tcMar>
          </w:tcPr>
          <w:p>
            <w:r>
              <w:rPr>
                <w:b w:val="false"/>
                <w:bCs w:val="false"/>
                <w:sz w:val="20"/>
                <w:szCs w:val="20"/>
              </w:rPr>
              <w:t xml:space="preserve">Trading name wording in all documents</w:t>
            </w:r>
          </w:p>
        </w:tc>
        <w:tc>
          <w:tcPr>
            <w:tcW w:type="dxa" w:w="1200"/>
            <w:tcMar>
              <w:top w:type="dxa" w:w="80"/>
              <w:left w:type="dxa" w:w="110"/>
              <w:bottom w:type="dxa" w:w="80"/>
              <w:right w:type="dxa" w:w="110"/>
            </w:tcMar>
          </w:tcPr>
          <w:p>
            <w:r>
              <w:rPr>
                <w:b w:val="false"/>
                <w:bCs w:val="false"/>
                <w:sz w:val="20"/>
                <w:szCs w:val="20"/>
              </w:rPr>
              <w:t xml:space="preserve">G</w:t>
            </w:r>
          </w:p>
        </w:tc>
        <w:tc>
          <w:tcPr>
            <w:tcW w:type="dxa" w:w="4060"/>
            <w:tcMar>
              <w:top w:type="dxa" w:w="80"/>
              <w:left w:type="dxa" w:w="110"/>
              <w:bottom w:type="dxa" w:w="80"/>
              <w:right w:type="dxa" w:w="110"/>
            </w:tcMar>
          </w:tcPr>
          <w:p>
            <w:r>
              <w:rPr>
                <w:b w:val="false"/>
                <w:bCs w:val="false"/>
                <w:sz w:val="20"/>
                <w:szCs w:val="20"/>
              </w:rPr>
              <w:t xml:space="preserve">Blocked on B1 only for the exact legal formulation. Everything else can be written now.</w:t>
            </w:r>
          </w:p>
        </w:tc>
      </w:tr>
    </w:tbl>
    <w:p>
      <w:pPr>
        <w:spacing w:after="60"/>
      </w:pPr>
      <w:r>
        <w:rPr>
          <w:sz w:val="22"/>
          <w:szCs w:val="22"/>
        </w:rPr>
        <w:t xml:space="preserve"/>
      </w:r>
    </w:p>
    <w:p>
      <w:pPr>
        <w:spacing w:after="140"/>
      </w:pPr>
      <w:r>
        <w:rPr>
          <w:sz w:val="22"/>
          <w:szCs w:val="22"/>
        </w:rPr>
        <w:t xml:space="preserve">On B3, and this is a suggestion rather than a statement of law: the duty to pay the data protection fee attaches to being a controller who processes personal data, not to being registered with HMRC. The ICO's registration service explicitly covers sole traders, and registration asks for a name, an address and a card (</w:t>
      </w:r>
      <w:hyperlink w:history="1" r:id="rIdo_vf8vtc43qwjssulzku_">
        <w:r>
          <w:rPr>
            <w:rStyle w:val="Hyperlink"/>
            <w:sz w:val="22"/>
            <w:szCs w:val="22"/>
          </w:rPr>
          <w:t xml:space="preserve">ICO data protection fee</w:t>
        </w:r>
      </w:hyperlink>
      <w:r>
        <w:rPr>
          <w:sz w:val="22"/>
          <w:szCs w:val="22"/>
        </w:rPr>
        <w:t xml:space="preserve">; </w:t>
      </w:r>
      <w:hyperlink w:history="1" r:id="rIdqkdqkpjxejnbtuo1rndrm">
        <w:r>
          <w:rPr>
            <w:rStyle w:val="Hyperlink"/>
            <w:sz w:val="22"/>
            <w:szCs w:val="22"/>
          </w:rPr>
          <w:t xml:space="preserve">register</w:t>
        </w:r>
      </w:hyperlink>
      <w:r>
        <w:rPr>
          <w:sz w:val="22"/>
          <w:szCs w:val="22"/>
        </w:rPr>
        <w:t xml:space="preserve">). It may be possible to register now in Graeme Wright's own name with Build New Habits as the trading name, and update it later. Worth one call to 0303 123 1113 to ask, because if the answer is yes it unblocks three pieces of wording and removes the largest visible gap.</w:t>
      </w:r>
    </w:p>
    <w:p>
      <w:pPr>
        <w:pStyle w:val="Heading2"/>
        <w:spacing w:after="120" w:before="280"/>
      </w:pPr>
      <w:r>
        <w:rPr>
          <w:b/>
          <w:bCs/>
          <w:color w:val="1F4E5F"/>
          <w:sz w:val="26"/>
          <w:szCs w:val="26"/>
        </w:rPr>
        <w:t xml:space="preserve">C. Can be done now, needs no lawyer, costs nothing</w:t>
      </w:r>
    </w:p>
    <w:p>
      <w:pPr>
        <w:spacing w:after="140"/>
      </w:pPr>
      <w:r>
        <w:rPr>
          <w:sz w:val="22"/>
          <w:szCs w:val="22"/>
        </w:rPr>
        <w:t xml:space="preserve">This is the bulk of it, and it is the part that would be expensive to buy and cheap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200"/>
        <w:gridCol w:w="3860"/>
      </w:tblGrid>
      <w:tr>
        <w:trPr>
          <w:tblHeader/>
        </w:trPr>
        <w:tc>
          <w:tcPr>
            <w:tcW w:type="dxa" w:w="700"/>
            <w:shd w:fill="E4EAEE" w:val="clear"/>
            <w:tcMar>
              <w:top w:type="dxa" w:w="80"/>
              <w:left w:type="dxa" w:w="110"/>
              <w:bottom w:type="dxa" w:w="80"/>
              <w:right w:type="dxa" w:w="110"/>
            </w:tcMar>
          </w:tcPr>
          <w:p>
            <w:r>
              <w:rPr>
                <w:b/>
                <w:bCs/>
                <w:sz w:val="20"/>
                <w:szCs w:val="20"/>
              </w:rPr>
              <w:t xml:space="preserve">Ref</w:t>
            </w:r>
          </w:p>
        </w:tc>
        <w:tc>
          <w:tcPr>
            <w:tcW w:type="dxa" w:w="3600"/>
            <w:shd w:fill="E4EAEE" w:val="clear"/>
            <w:tcMar>
              <w:top w:type="dxa" w:w="80"/>
              <w:left w:type="dxa" w:w="110"/>
              <w:bottom w:type="dxa" w:w="80"/>
              <w:right w:type="dxa" w:w="110"/>
            </w:tcMar>
          </w:tcPr>
          <w:p>
            <w:r>
              <w:rPr>
                <w:b/>
                <w:bCs/>
                <w:sz w:val="20"/>
                <w:szCs w:val="20"/>
              </w:rPr>
              <w:t xml:space="preserve">Obligation</w:t>
            </w:r>
          </w:p>
        </w:tc>
        <w:tc>
          <w:tcPr>
            <w:tcW w:type="dxa" w:w="1200"/>
            <w:shd w:fill="E4EAEE" w:val="clear"/>
            <w:tcMar>
              <w:top w:type="dxa" w:w="80"/>
              <w:left w:type="dxa" w:w="110"/>
              <w:bottom w:type="dxa" w:w="80"/>
              <w:right w:type="dxa" w:w="110"/>
            </w:tcMar>
          </w:tcPr>
          <w:p>
            <w:r>
              <w:rPr>
                <w:b/>
                <w:bCs/>
                <w:sz w:val="20"/>
                <w:szCs w:val="20"/>
              </w:rPr>
              <w:t xml:space="preserve">Owner</w:t>
            </w:r>
          </w:p>
        </w:tc>
        <w:tc>
          <w:tcPr>
            <w:tcW w:type="dxa" w:w="3860"/>
            <w:shd w:fill="E4EAEE" w:val="clear"/>
            <w:tcMar>
              <w:top w:type="dxa" w:w="80"/>
              <w:left w:type="dxa" w:w="110"/>
              <w:bottom w:type="dxa" w:w="80"/>
              <w:right w:type="dxa" w:w="110"/>
            </w:tcMar>
          </w:tcPr>
          <w:p>
            <w:r>
              <w:rPr>
                <w:b/>
                <w:bCs/>
                <w:sz w:val="20"/>
                <w:szCs w:val="20"/>
              </w:rPr>
              <w:t xml:space="preserve">Note</w:t>
            </w:r>
          </w:p>
        </w:tc>
      </w:tr>
      <w:tr>
        <w:trPr>
          <w:tblHeader w:val="false"/>
        </w:trPr>
        <w:tc>
          <w:tcPr>
            <w:tcW w:type="dxa" w:w="700"/>
            <w:tcMar>
              <w:top w:type="dxa" w:w="80"/>
              <w:left w:type="dxa" w:w="110"/>
              <w:bottom w:type="dxa" w:w="80"/>
              <w:right w:type="dxa" w:w="110"/>
            </w:tcMar>
          </w:tcPr>
          <w:p>
            <w:r>
              <w:rPr>
                <w:b w:val="false"/>
                <w:bCs w:val="false"/>
                <w:sz w:val="20"/>
                <w:szCs w:val="20"/>
              </w:rPr>
              <w:t xml:space="preserve">C1</w:t>
            </w:r>
          </w:p>
        </w:tc>
        <w:tc>
          <w:tcPr>
            <w:tcW w:type="dxa" w:w="3600"/>
            <w:tcMar>
              <w:top w:type="dxa" w:w="80"/>
              <w:left w:type="dxa" w:w="110"/>
              <w:bottom w:type="dxa" w:w="80"/>
              <w:right w:type="dxa" w:w="110"/>
            </w:tcMar>
          </w:tcPr>
          <w:p>
            <w:r>
              <w:rPr>
                <w:b w:val="false"/>
                <w:bCs w:val="false"/>
                <w:sz w:val="20"/>
                <w:szCs w:val="20"/>
              </w:rPr>
              <w:t xml:space="preserve">Record of Processing Activities (Article 30)</w:t>
            </w:r>
          </w:p>
        </w:tc>
        <w:tc>
          <w:tcPr>
            <w:tcW w:type="dxa" w:w="1200"/>
            <w:tcMar>
              <w:top w:type="dxa" w:w="80"/>
              <w:left w:type="dxa" w:w="110"/>
              <w:bottom w:type="dxa" w:w="80"/>
              <w:right w:type="dxa" w:w="110"/>
            </w:tcMar>
          </w:tcPr>
          <w:p>
            <w:r>
              <w:rPr>
                <w:b w:val="false"/>
                <w:bCs w:val="false"/>
                <w:sz w:val="20"/>
                <w:szCs w:val="20"/>
              </w:rPr>
              <w:t xml:space="preserve">C</w:t>
            </w:r>
          </w:p>
        </w:tc>
        <w:tc>
          <w:tcPr>
            <w:tcW w:type="dxa" w:w="3860"/>
            <w:tcMar>
              <w:top w:type="dxa" w:w="80"/>
              <w:left w:type="dxa" w:w="110"/>
              <w:bottom w:type="dxa" w:w="80"/>
              <w:right w:type="dxa" w:w="110"/>
            </w:tcMar>
          </w:tcPr>
          <w:p>
            <w:r>
              <w:rPr>
                <w:b w:val="false"/>
                <w:bCs w:val="false"/>
                <w:sz w:val="20"/>
                <w:szCs w:val="20"/>
              </w:rPr>
              <w:t xml:space="preserve">Required. The under-250-staff exemption does not apply where processing includes special category data or is not occasional. We are both.</w:t>
            </w:r>
          </w:p>
        </w:tc>
      </w:tr>
      <w:tr>
        <w:trPr>
          <w:tblHeader w:val="false"/>
        </w:trPr>
        <w:tc>
          <w:tcPr>
            <w:tcW w:type="dxa" w:w="700"/>
            <w:tcMar>
              <w:top w:type="dxa" w:w="80"/>
              <w:left w:type="dxa" w:w="110"/>
              <w:bottom w:type="dxa" w:w="80"/>
              <w:right w:type="dxa" w:w="110"/>
            </w:tcMar>
          </w:tcPr>
          <w:p>
            <w:r>
              <w:rPr>
                <w:b w:val="false"/>
                <w:bCs w:val="false"/>
                <w:sz w:val="20"/>
                <w:szCs w:val="20"/>
              </w:rPr>
              <w:t xml:space="preserve">C2</w:t>
            </w:r>
          </w:p>
        </w:tc>
        <w:tc>
          <w:tcPr>
            <w:tcW w:type="dxa" w:w="3600"/>
            <w:tcMar>
              <w:top w:type="dxa" w:w="80"/>
              <w:left w:type="dxa" w:w="110"/>
              <w:bottom w:type="dxa" w:w="80"/>
              <w:right w:type="dxa" w:w="110"/>
            </w:tcMar>
          </w:tcPr>
          <w:p>
            <w:r>
              <w:rPr>
                <w:b w:val="false"/>
                <w:bCs w:val="false"/>
                <w:sz w:val="20"/>
                <w:szCs w:val="20"/>
              </w:rPr>
              <w:t xml:space="preserve">Written breach procedure and breach log</w:t>
            </w:r>
          </w:p>
        </w:tc>
        <w:tc>
          <w:tcPr>
            <w:tcW w:type="dxa" w:w="1200"/>
            <w:tcMar>
              <w:top w:type="dxa" w:w="80"/>
              <w:left w:type="dxa" w:w="110"/>
              <w:bottom w:type="dxa" w:w="80"/>
              <w:right w:type="dxa" w:w="110"/>
            </w:tcMar>
          </w:tcPr>
          <w:p>
            <w:r>
              <w:rPr>
                <w:b w:val="false"/>
                <w:bCs w:val="false"/>
                <w:sz w:val="20"/>
                <w:szCs w:val="20"/>
              </w:rPr>
              <w:t xml:space="preserve">C + G</w:t>
            </w:r>
          </w:p>
        </w:tc>
        <w:tc>
          <w:tcPr>
            <w:tcW w:type="dxa" w:w="3860"/>
            <w:tcMar>
              <w:top w:type="dxa" w:w="80"/>
              <w:left w:type="dxa" w:w="110"/>
              <w:bottom w:type="dxa" w:w="80"/>
              <w:right w:type="dxa" w:w="110"/>
            </w:tcMar>
          </w:tcPr>
          <w:p>
            <w:r>
              <w:rPr>
                <w:b w:val="false"/>
                <w:bCs w:val="false"/>
                <w:sz w:val="20"/>
                <w:szCs w:val="20"/>
              </w:rPr>
              <w:t xml:space="preserve">Article 33. The 72-hour clock is unforgiving and there is currently no procedure to follow at hour one.</w:t>
            </w:r>
          </w:p>
        </w:tc>
      </w:tr>
      <w:tr>
        <w:trPr>
          <w:tblHeader w:val="false"/>
        </w:trPr>
        <w:tc>
          <w:tcPr>
            <w:tcW w:type="dxa" w:w="700"/>
            <w:tcMar>
              <w:top w:type="dxa" w:w="80"/>
              <w:left w:type="dxa" w:w="110"/>
              <w:bottom w:type="dxa" w:w="80"/>
              <w:right w:type="dxa" w:w="110"/>
            </w:tcMar>
          </w:tcPr>
          <w:p>
            <w:r>
              <w:rPr>
                <w:b w:val="false"/>
                <w:bCs w:val="false"/>
                <w:sz w:val="20"/>
                <w:szCs w:val="20"/>
              </w:rPr>
              <w:t xml:space="preserve">C3</w:t>
            </w:r>
          </w:p>
        </w:tc>
        <w:tc>
          <w:tcPr>
            <w:tcW w:type="dxa" w:w="3600"/>
            <w:tcMar>
              <w:top w:type="dxa" w:w="80"/>
              <w:left w:type="dxa" w:w="110"/>
              <w:bottom w:type="dxa" w:w="80"/>
              <w:right w:type="dxa" w:w="110"/>
            </w:tcMar>
          </w:tcPr>
          <w:p>
            <w:r>
              <w:rPr>
                <w:b w:val="false"/>
                <w:bCs w:val="false"/>
                <w:sz w:val="20"/>
                <w:szCs w:val="20"/>
              </w:rPr>
              <w:t xml:space="preserve">Written complaints procedure and complaint log</w:t>
            </w:r>
          </w:p>
        </w:tc>
        <w:tc>
          <w:tcPr>
            <w:tcW w:type="dxa" w:w="1200"/>
            <w:tcMar>
              <w:top w:type="dxa" w:w="80"/>
              <w:left w:type="dxa" w:w="110"/>
              <w:bottom w:type="dxa" w:w="80"/>
              <w:right w:type="dxa" w:w="110"/>
            </w:tcMar>
          </w:tcPr>
          <w:p>
            <w:r>
              <w:rPr>
                <w:b w:val="false"/>
                <w:bCs w:val="false"/>
                <w:sz w:val="20"/>
                <w:szCs w:val="20"/>
              </w:rPr>
              <w:t xml:space="preserve">C + G</w:t>
            </w:r>
          </w:p>
        </w:tc>
        <w:tc>
          <w:tcPr>
            <w:tcW w:type="dxa" w:w="3860"/>
            <w:tcMar>
              <w:top w:type="dxa" w:w="80"/>
              <w:left w:type="dxa" w:w="110"/>
              <w:bottom w:type="dxa" w:w="80"/>
              <w:right w:type="dxa" w:w="110"/>
            </w:tcMar>
          </w:tcPr>
          <w:p>
            <w:r>
              <w:rPr>
                <w:b w:val="false"/>
                <w:bCs w:val="false"/>
                <w:sz w:val="20"/>
                <w:szCs w:val="20"/>
              </w:rPr>
              <w:t xml:space="preserve">DUAA s.164A, in force since 19 June 2026. No exemptions, no size threshold.</w:t>
            </w:r>
          </w:p>
        </w:tc>
      </w:tr>
      <w:tr>
        <w:trPr>
          <w:tblHeader w:val="false"/>
        </w:trPr>
        <w:tc>
          <w:tcPr>
            <w:tcW w:type="dxa" w:w="700"/>
            <w:tcMar>
              <w:top w:type="dxa" w:w="80"/>
              <w:left w:type="dxa" w:w="110"/>
              <w:bottom w:type="dxa" w:w="80"/>
              <w:right w:type="dxa" w:w="110"/>
            </w:tcMar>
          </w:tcPr>
          <w:p>
            <w:r>
              <w:rPr>
                <w:b w:val="false"/>
                <w:bCs w:val="false"/>
                <w:sz w:val="20"/>
                <w:szCs w:val="20"/>
              </w:rPr>
              <w:t xml:space="preserve">C4</w:t>
            </w:r>
          </w:p>
        </w:tc>
        <w:tc>
          <w:tcPr>
            <w:tcW w:type="dxa" w:w="3600"/>
            <w:tcMar>
              <w:top w:type="dxa" w:w="80"/>
              <w:left w:type="dxa" w:w="110"/>
              <w:bottom w:type="dxa" w:w="80"/>
              <w:right w:type="dxa" w:w="110"/>
            </w:tcMar>
          </w:tcPr>
          <w:p>
            <w:r>
              <w:rPr>
                <w:b w:val="false"/>
                <w:bCs w:val="false"/>
                <w:sz w:val="20"/>
                <w:szCs w:val="20"/>
              </w:rPr>
              <w:t xml:space="preserve">Children's access assessment, documented and dated</w:t>
            </w:r>
          </w:p>
        </w:tc>
        <w:tc>
          <w:tcPr>
            <w:tcW w:type="dxa" w:w="1200"/>
            <w:tcMar>
              <w:top w:type="dxa" w:w="80"/>
              <w:left w:type="dxa" w:w="110"/>
              <w:bottom w:type="dxa" w:w="80"/>
              <w:right w:type="dxa" w:w="110"/>
            </w:tcMar>
          </w:tcPr>
          <w:p>
            <w:r>
              <w:rPr>
                <w:b w:val="false"/>
                <w:bCs w:val="false"/>
                <w:sz w:val="20"/>
                <w:szCs w:val="20"/>
              </w:rPr>
              <w:t xml:space="preserve">C + G</w:t>
            </w:r>
          </w:p>
        </w:tc>
        <w:tc>
          <w:tcPr>
            <w:tcW w:type="dxa" w:w="3860"/>
            <w:tcMar>
              <w:top w:type="dxa" w:w="80"/>
              <w:left w:type="dxa" w:w="110"/>
              <w:bottom w:type="dxa" w:w="80"/>
              <w:right w:type="dxa" w:w="110"/>
            </w:tcMar>
          </w:tcPr>
          <w:p>
            <w:r>
              <w:rPr>
                <w:b w:val="false"/>
                <w:bCs w:val="false"/>
                <w:sz w:val="20"/>
                <w:szCs w:val="20"/>
              </w:rPr>
              <w:t xml:space="preserve">The thing that would actually support an 18+ position. See section D.</w:t>
            </w:r>
          </w:p>
        </w:tc>
      </w:tr>
      <w:tr>
        <w:trPr>
          <w:tblHeader w:val="false"/>
        </w:trPr>
        <w:tc>
          <w:tcPr>
            <w:tcW w:type="dxa" w:w="700"/>
            <w:tcMar>
              <w:top w:type="dxa" w:w="80"/>
              <w:left w:type="dxa" w:w="110"/>
              <w:bottom w:type="dxa" w:w="80"/>
              <w:right w:type="dxa" w:w="110"/>
            </w:tcMar>
          </w:tcPr>
          <w:p>
            <w:r>
              <w:rPr>
                <w:b w:val="false"/>
                <w:bCs w:val="false"/>
                <w:sz w:val="20"/>
                <w:szCs w:val="20"/>
              </w:rPr>
              <w:t xml:space="preserve">C5</w:t>
            </w:r>
          </w:p>
        </w:tc>
        <w:tc>
          <w:tcPr>
            <w:tcW w:type="dxa" w:w="3600"/>
            <w:tcMar>
              <w:top w:type="dxa" w:w="80"/>
              <w:left w:type="dxa" w:w="110"/>
              <w:bottom w:type="dxa" w:w="80"/>
              <w:right w:type="dxa" w:w="110"/>
            </w:tcMar>
          </w:tcPr>
          <w:p>
            <w:r>
              <w:rPr>
                <w:b w:val="false"/>
                <w:bCs w:val="false"/>
                <w:sz w:val="20"/>
                <w:szCs w:val="20"/>
              </w:rPr>
              <w:t xml:space="preserve">Legitimate interests assessments for the three LI bases</w:t>
            </w:r>
          </w:p>
        </w:tc>
        <w:tc>
          <w:tcPr>
            <w:tcW w:type="dxa" w:w="1200"/>
            <w:tcMar>
              <w:top w:type="dxa" w:w="80"/>
              <w:left w:type="dxa" w:w="110"/>
              <w:bottom w:type="dxa" w:w="80"/>
              <w:right w:type="dxa" w:w="110"/>
            </w:tcMar>
          </w:tcPr>
          <w:p>
            <w:r>
              <w:rPr>
                <w:b w:val="false"/>
                <w:bCs w:val="false"/>
                <w:sz w:val="20"/>
                <w:szCs w:val="20"/>
              </w:rPr>
              <w:t xml:space="preserve">C</w:t>
            </w:r>
          </w:p>
        </w:tc>
        <w:tc>
          <w:tcPr>
            <w:tcW w:type="dxa" w:w="3860"/>
            <w:tcMar>
              <w:top w:type="dxa" w:w="80"/>
              <w:left w:type="dxa" w:w="110"/>
              <w:bottom w:type="dxa" w:w="80"/>
              <w:right w:type="dxa" w:w="110"/>
            </w:tcMar>
          </w:tcPr>
          <w:p>
            <w:r>
              <w:rPr>
                <w:b w:val="false"/>
                <w:bCs w:val="false"/>
                <w:sz w:val="20"/>
                <w:szCs w:val="20"/>
              </w:rPr>
              <w:t xml:space="preserve">Error monitoring, aggregate analytics, age check.</w:t>
            </w:r>
          </w:p>
        </w:tc>
      </w:tr>
      <w:tr>
        <w:trPr>
          <w:tblHeader w:val="false"/>
        </w:trPr>
        <w:tc>
          <w:tcPr>
            <w:tcW w:type="dxa" w:w="700"/>
            <w:tcMar>
              <w:top w:type="dxa" w:w="80"/>
              <w:left w:type="dxa" w:w="110"/>
              <w:bottom w:type="dxa" w:w="80"/>
              <w:right w:type="dxa" w:w="110"/>
            </w:tcMar>
          </w:tcPr>
          <w:p>
            <w:r>
              <w:rPr>
                <w:b w:val="false"/>
                <w:bCs w:val="false"/>
                <w:sz w:val="20"/>
                <w:szCs w:val="20"/>
              </w:rPr>
              <w:t xml:space="preserve">C6</w:t>
            </w:r>
          </w:p>
        </w:tc>
        <w:tc>
          <w:tcPr>
            <w:tcW w:type="dxa" w:w="3600"/>
            <w:tcMar>
              <w:top w:type="dxa" w:w="80"/>
              <w:left w:type="dxa" w:w="110"/>
              <w:bottom w:type="dxa" w:w="80"/>
              <w:right w:type="dxa" w:w="110"/>
            </w:tcMar>
          </w:tcPr>
          <w:p>
            <w:r>
              <w:rPr>
                <w:b w:val="false"/>
                <w:bCs w:val="false"/>
                <w:sz w:val="20"/>
                <w:szCs w:val="20"/>
              </w:rPr>
              <w:t xml:space="preserve">Retention schedule, and the code that implements it</w:t>
            </w:r>
          </w:p>
        </w:tc>
        <w:tc>
          <w:tcPr>
            <w:tcW w:type="dxa" w:w="1200"/>
            <w:tcMar>
              <w:top w:type="dxa" w:w="80"/>
              <w:left w:type="dxa" w:w="110"/>
              <w:bottom w:type="dxa" w:w="80"/>
              <w:right w:type="dxa" w:w="110"/>
            </w:tcMar>
          </w:tcPr>
          <w:p>
            <w:r>
              <w:rPr>
                <w:b w:val="false"/>
                <w:bCs w:val="false"/>
                <w:sz w:val="20"/>
                <w:szCs w:val="20"/>
              </w:rPr>
              <w:t xml:space="preserve">C + G</w:t>
            </w:r>
          </w:p>
        </w:tc>
        <w:tc>
          <w:tcPr>
            <w:tcW w:type="dxa" w:w="3860"/>
            <w:tcMar>
              <w:top w:type="dxa" w:w="80"/>
              <w:left w:type="dxa" w:w="110"/>
              <w:bottom w:type="dxa" w:w="80"/>
              <w:right w:type="dxa" w:w="110"/>
            </w:tcMar>
          </w:tcPr>
          <w:p>
            <w:r>
              <w:rPr>
                <w:b w:val="false"/>
                <w:bCs w:val="false"/>
                <w:sz w:val="20"/>
                <w:szCs w:val="20"/>
              </w:rPr>
              <w:t xml:space="preserve">The policy now states 24-month dormancy deletion. Nothing implements it.</w:t>
            </w:r>
          </w:p>
        </w:tc>
      </w:tr>
      <w:tr>
        <w:trPr>
          <w:tblHeader w:val="false"/>
        </w:trPr>
        <w:tc>
          <w:tcPr>
            <w:tcW w:type="dxa" w:w="700"/>
            <w:tcMar>
              <w:top w:type="dxa" w:w="80"/>
              <w:left w:type="dxa" w:w="110"/>
              <w:bottom w:type="dxa" w:w="80"/>
              <w:right w:type="dxa" w:w="110"/>
            </w:tcMar>
          </w:tcPr>
          <w:p>
            <w:r>
              <w:rPr>
                <w:b w:val="false"/>
                <w:bCs w:val="false"/>
                <w:sz w:val="20"/>
                <w:szCs w:val="20"/>
              </w:rPr>
              <w:t xml:space="preserve">C7</w:t>
            </w:r>
          </w:p>
        </w:tc>
        <w:tc>
          <w:tcPr>
            <w:tcW w:type="dxa" w:w="3600"/>
            <w:tcMar>
              <w:top w:type="dxa" w:w="80"/>
              <w:left w:type="dxa" w:w="110"/>
              <w:bottom w:type="dxa" w:w="80"/>
              <w:right w:type="dxa" w:w="110"/>
            </w:tcMar>
          </w:tcPr>
          <w:p>
            <w:r>
              <w:rPr>
                <w:b w:val="false"/>
                <w:bCs w:val="false"/>
                <w:sz w:val="20"/>
                <w:szCs w:val="20"/>
              </w:rPr>
              <w:t xml:space="preserve">Consent records — what was consented to, when, and what wording was shown</w:t>
            </w:r>
          </w:p>
        </w:tc>
        <w:tc>
          <w:tcPr>
            <w:tcW w:type="dxa" w:w="1200"/>
            <w:tcMar>
              <w:top w:type="dxa" w:w="80"/>
              <w:left w:type="dxa" w:w="110"/>
              <w:bottom w:type="dxa" w:w="80"/>
              <w:right w:type="dxa" w:w="110"/>
            </w:tcMar>
          </w:tcPr>
          <w:p>
            <w:r>
              <w:rPr>
                <w:b w:val="false"/>
                <w:bCs w:val="false"/>
                <w:sz w:val="20"/>
                <w:szCs w:val="20"/>
              </w:rPr>
              <w:t xml:space="preserve">G</w:t>
            </w:r>
          </w:p>
        </w:tc>
        <w:tc>
          <w:tcPr>
            <w:tcW w:type="dxa" w:w="3860"/>
            <w:tcMar>
              <w:top w:type="dxa" w:w="80"/>
              <w:left w:type="dxa" w:w="110"/>
              <w:bottom w:type="dxa" w:w="80"/>
              <w:right w:type="dxa" w:w="110"/>
            </w:tcMar>
          </w:tcPr>
          <w:p>
            <w:r>
              <w:rPr>
                <w:b w:val="false"/>
                <w:bCs w:val="false"/>
                <w:sz w:val="20"/>
                <w:szCs w:val="20"/>
              </w:rPr>
              <w:t xml:space="preserve">Article 7(1). You have to be able to demonstrate consent, not just collect it.</w:t>
            </w:r>
          </w:p>
        </w:tc>
      </w:tr>
      <w:tr>
        <w:trPr>
          <w:tblHeader w:val="false"/>
        </w:trPr>
        <w:tc>
          <w:tcPr>
            <w:tcW w:type="dxa" w:w="700"/>
            <w:tcMar>
              <w:top w:type="dxa" w:w="80"/>
              <w:left w:type="dxa" w:w="110"/>
              <w:bottom w:type="dxa" w:w="80"/>
              <w:right w:type="dxa" w:w="110"/>
            </w:tcMar>
          </w:tcPr>
          <w:p>
            <w:r>
              <w:rPr>
                <w:b w:val="false"/>
                <w:bCs w:val="false"/>
                <w:sz w:val="20"/>
                <w:szCs w:val="20"/>
              </w:rPr>
              <w:t xml:space="preserve">C8</w:t>
            </w:r>
          </w:p>
        </w:tc>
        <w:tc>
          <w:tcPr>
            <w:tcW w:type="dxa" w:w="3600"/>
            <w:tcMar>
              <w:top w:type="dxa" w:w="80"/>
              <w:left w:type="dxa" w:w="110"/>
              <w:bottom w:type="dxa" w:w="80"/>
              <w:right w:type="dxa" w:w="110"/>
            </w:tcMar>
          </w:tcPr>
          <w:p>
            <w:r>
              <w:rPr>
                <w:b w:val="false"/>
                <w:bCs w:val="false"/>
                <w:sz w:val="20"/>
                <w:szCs w:val="20"/>
              </w:rPr>
              <w:t xml:space="preserve">Subject access request procedure</w:t>
            </w:r>
          </w:p>
        </w:tc>
        <w:tc>
          <w:tcPr>
            <w:tcW w:type="dxa" w:w="1200"/>
            <w:tcMar>
              <w:top w:type="dxa" w:w="80"/>
              <w:left w:type="dxa" w:w="110"/>
              <w:bottom w:type="dxa" w:w="80"/>
              <w:right w:type="dxa" w:w="110"/>
            </w:tcMar>
          </w:tcPr>
          <w:p>
            <w:r>
              <w:rPr>
                <w:b w:val="false"/>
                <w:bCs w:val="false"/>
                <w:sz w:val="20"/>
                <w:szCs w:val="20"/>
              </w:rPr>
              <w:t xml:space="preserve">C</w:t>
            </w:r>
          </w:p>
        </w:tc>
        <w:tc>
          <w:tcPr>
            <w:tcW w:type="dxa" w:w="3860"/>
            <w:tcMar>
              <w:top w:type="dxa" w:w="80"/>
              <w:left w:type="dxa" w:w="110"/>
              <w:bottom w:type="dxa" w:w="80"/>
              <w:right w:type="dxa" w:w="110"/>
            </w:tcMar>
          </w:tcPr>
          <w:p>
            <w:r>
              <w:rPr>
                <w:b w:val="false"/>
                <w:bCs w:val="false"/>
                <w:sz w:val="20"/>
                <w:szCs w:val="20"/>
              </w:rPr>
              <w:t xml:space="preserve">One month is short for a one-person business with no process.</w:t>
            </w:r>
          </w:p>
        </w:tc>
      </w:tr>
      <w:tr>
        <w:trPr>
          <w:tblHeader w:val="false"/>
        </w:trPr>
        <w:tc>
          <w:tcPr>
            <w:tcW w:type="dxa" w:w="700"/>
            <w:tcMar>
              <w:top w:type="dxa" w:w="80"/>
              <w:left w:type="dxa" w:w="110"/>
              <w:bottom w:type="dxa" w:w="80"/>
              <w:right w:type="dxa" w:w="110"/>
            </w:tcMar>
          </w:tcPr>
          <w:p>
            <w:r>
              <w:rPr>
                <w:b w:val="false"/>
                <w:bCs w:val="false"/>
                <w:sz w:val="20"/>
                <w:szCs w:val="20"/>
              </w:rPr>
              <w:t xml:space="preserve">C9</w:t>
            </w:r>
          </w:p>
        </w:tc>
        <w:tc>
          <w:tcPr>
            <w:tcW w:type="dxa" w:w="3600"/>
            <w:tcMar>
              <w:top w:type="dxa" w:w="80"/>
              <w:left w:type="dxa" w:w="110"/>
              <w:bottom w:type="dxa" w:w="80"/>
              <w:right w:type="dxa" w:w="110"/>
            </w:tcMar>
          </w:tcPr>
          <w:p>
            <w:r>
              <w:rPr>
                <w:b w:val="false"/>
                <w:bCs w:val="false"/>
                <w:sz w:val="20"/>
                <w:szCs w:val="20"/>
              </w:rPr>
              <w:t xml:space="preserve">Article 32 security measures, written down</w:t>
            </w:r>
          </w:p>
        </w:tc>
        <w:tc>
          <w:tcPr>
            <w:tcW w:type="dxa" w:w="1200"/>
            <w:tcMar>
              <w:top w:type="dxa" w:w="80"/>
              <w:left w:type="dxa" w:w="110"/>
              <w:bottom w:type="dxa" w:w="80"/>
              <w:right w:type="dxa" w:w="110"/>
            </w:tcMar>
          </w:tcPr>
          <w:p>
            <w:r>
              <w:rPr>
                <w:b w:val="false"/>
                <w:bCs w:val="false"/>
                <w:sz w:val="20"/>
                <w:szCs w:val="20"/>
              </w:rPr>
              <w:t xml:space="preserve">C + G</w:t>
            </w:r>
          </w:p>
        </w:tc>
        <w:tc>
          <w:tcPr>
            <w:tcW w:type="dxa" w:w="3860"/>
            <w:tcMar>
              <w:top w:type="dxa" w:w="80"/>
              <w:left w:type="dxa" w:w="110"/>
              <w:bottom w:type="dxa" w:w="80"/>
              <w:right w:type="dxa" w:w="110"/>
            </w:tcMar>
          </w:tcPr>
          <w:p>
            <w:r>
              <w:rPr>
                <w:b w:val="false"/>
                <w:bCs w:val="false"/>
                <w:sz w:val="20"/>
                <w:szCs w:val="20"/>
              </w:rPr>
              <w:t xml:space="preserve">Needed for the ROPA and for the DPIA to be defensible.</w:t>
            </w:r>
          </w:p>
        </w:tc>
      </w:tr>
      <w:tr>
        <w:trPr>
          <w:tblHeader w:val="false"/>
        </w:trPr>
        <w:tc>
          <w:tcPr>
            <w:tcW w:type="dxa" w:w="700"/>
            <w:tcMar>
              <w:top w:type="dxa" w:w="80"/>
              <w:left w:type="dxa" w:w="110"/>
              <w:bottom w:type="dxa" w:w="80"/>
              <w:right w:type="dxa" w:w="110"/>
            </w:tcMar>
          </w:tcPr>
          <w:p>
            <w:r>
              <w:rPr>
                <w:b w:val="false"/>
                <w:bCs w:val="false"/>
                <w:sz w:val="20"/>
                <w:szCs w:val="20"/>
              </w:rPr>
              <w:t xml:space="preserve">C10</w:t>
            </w:r>
          </w:p>
        </w:tc>
        <w:tc>
          <w:tcPr>
            <w:tcW w:type="dxa" w:w="3600"/>
            <w:tcMar>
              <w:top w:type="dxa" w:w="80"/>
              <w:left w:type="dxa" w:w="110"/>
              <w:bottom w:type="dxa" w:w="80"/>
              <w:right w:type="dxa" w:w="110"/>
            </w:tcMar>
          </w:tcPr>
          <w:p>
            <w:r>
              <w:rPr>
                <w:b w:val="false"/>
                <w:bCs w:val="false"/>
                <w:sz w:val="20"/>
                <w:szCs w:val="20"/>
              </w:rPr>
              <w:t xml:space="preserve">Sentry scrubbing gate, reversal-tested</w:t>
            </w:r>
          </w:p>
        </w:tc>
        <w:tc>
          <w:tcPr>
            <w:tcW w:type="dxa" w:w="1200"/>
            <w:tcMar>
              <w:top w:type="dxa" w:w="80"/>
              <w:left w:type="dxa" w:w="110"/>
              <w:bottom w:type="dxa" w:w="80"/>
              <w:right w:type="dxa" w:w="110"/>
            </w:tcMar>
          </w:tcPr>
          <w:p>
            <w:r>
              <w:rPr>
                <w:b w:val="false"/>
                <w:bCs w:val="false"/>
                <w:sz w:val="20"/>
                <w:szCs w:val="20"/>
              </w:rPr>
              <w:t xml:space="preserve">G</w:t>
            </w:r>
          </w:p>
        </w:tc>
        <w:tc>
          <w:tcPr>
            <w:tcW w:type="dxa" w:w="3860"/>
            <w:tcMar>
              <w:top w:type="dxa" w:w="80"/>
              <w:left w:type="dxa" w:w="110"/>
              <w:bottom w:type="dxa" w:w="80"/>
              <w:right w:type="dxa" w:w="110"/>
            </w:tcMar>
          </w:tcPr>
          <w:p>
            <w:r>
              <w:rPr>
                <w:b w:val="false"/>
                <w:bCs w:val="false"/>
                <w:sz w:val="20"/>
                <w:szCs w:val="20"/>
              </w:rPr>
              <w:t xml:space="preserve">Currently a claim in a policy with no test behind it.</w:t>
            </w:r>
          </w:p>
        </w:tc>
      </w:tr>
      <w:tr>
        <w:trPr>
          <w:tblHeader w:val="false"/>
        </w:trPr>
        <w:tc>
          <w:tcPr>
            <w:tcW w:type="dxa" w:w="700"/>
            <w:tcMar>
              <w:top w:type="dxa" w:w="80"/>
              <w:left w:type="dxa" w:w="110"/>
              <w:bottom w:type="dxa" w:w="80"/>
              <w:right w:type="dxa" w:w="110"/>
            </w:tcMar>
          </w:tcPr>
          <w:p>
            <w:r>
              <w:rPr>
                <w:b w:val="false"/>
                <w:bCs w:val="false"/>
                <w:sz w:val="20"/>
                <w:szCs w:val="20"/>
              </w:rPr>
              <w:t xml:space="preserve">C11</w:t>
            </w:r>
          </w:p>
        </w:tc>
        <w:tc>
          <w:tcPr>
            <w:tcW w:type="dxa" w:w="3600"/>
            <w:tcMar>
              <w:top w:type="dxa" w:w="80"/>
              <w:left w:type="dxa" w:w="110"/>
              <w:bottom w:type="dxa" w:w="80"/>
              <w:right w:type="dxa" w:w="110"/>
            </w:tcMar>
          </w:tcPr>
          <w:p>
            <w:r>
              <w:rPr>
                <w:b w:val="false"/>
                <w:bCs w:val="false"/>
                <w:sz w:val="20"/>
                <w:szCs w:val="20"/>
              </w:rPr>
              <w:t xml:space="preserve">Cookie and local storage position for the website</w:t>
            </w:r>
          </w:p>
        </w:tc>
        <w:tc>
          <w:tcPr>
            <w:tcW w:type="dxa" w:w="1200"/>
            <w:tcMar>
              <w:top w:type="dxa" w:w="80"/>
              <w:left w:type="dxa" w:w="110"/>
              <w:bottom w:type="dxa" w:w="80"/>
              <w:right w:type="dxa" w:w="110"/>
            </w:tcMar>
          </w:tcPr>
          <w:p>
            <w:r>
              <w:rPr>
                <w:b w:val="false"/>
                <w:bCs w:val="false"/>
                <w:sz w:val="20"/>
                <w:szCs w:val="20"/>
              </w:rPr>
              <w:t xml:space="preserve">C</w:t>
            </w:r>
          </w:p>
        </w:tc>
        <w:tc>
          <w:tcPr>
            <w:tcW w:type="dxa" w:w="3860"/>
            <w:tcMar>
              <w:top w:type="dxa" w:w="80"/>
              <w:left w:type="dxa" w:w="110"/>
              <w:bottom w:type="dxa" w:w="80"/>
              <w:right w:type="dxa" w:w="110"/>
            </w:tcMar>
          </w:tcPr>
          <w:p>
            <w:r>
              <w:rPr>
                <w:b w:val="false"/>
                <w:bCs w:val="false"/>
                <w:sz w:val="20"/>
                <w:szCs w:val="20"/>
              </w:rPr>
              <w:t xml:space="preserve">Separate from the app.</w:t>
            </w:r>
          </w:p>
        </w:tc>
      </w:tr>
      <w:tr>
        <w:trPr>
          <w:tblHeader w:val="false"/>
        </w:trPr>
        <w:tc>
          <w:tcPr>
            <w:tcW w:type="dxa" w:w="700"/>
            <w:tcMar>
              <w:top w:type="dxa" w:w="80"/>
              <w:left w:type="dxa" w:w="110"/>
              <w:bottom w:type="dxa" w:w="80"/>
              <w:right w:type="dxa" w:w="110"/>
            </w:tcMar>
          </w:tcPr>
          <w:p>
            <w:r>
              <w:rPr>
                <w:b w:val="false"/>
                <w:bCs w:val="false"/>
                <w:sz w:val="20"/>
                <w:szCs w:val="20"/>
              </w:rPr>
              <w:t xml:space="preserve">C12</w:t>
            </w:r>
          </w:p>
        </w:tc>
        <w:tc>
          <w:tcPr>
            <w:tcW w:type="dxa" w:w="3600"/>
            <w:tcMar>
              <w:top w:type="dxa" w:w="80"/>
              <w:left w:type="dxa" w:w="110"/>
              <w:bottom w:type="dxa" w:w="80"/>
              <w:right w:type="dxa" w:w="110"/>
            </w:tcMar>
          </w:tcPr>
          <w:p>
            <w:r>
              <w:rPr>
                <w:b w:val="false"/>
                <w:bCs w:val="false"/>
                <w:sz w:val="20"/>
                <w:szCs w:val="20"/>
              </w:rPr>
              <w:t xml:space="preserve">Publish privacy and terms pages on the website</w:t>
            </w:r>
          </w:p>
        </w:tc>
        <w:tc>
          <w:tcPr>
            <w:tcW w:type="dxa" w:w="1200"/>
            <w:tcMar>
              <w:top w:type="dxa" w:w="80"/>
              <w:left w:type="dxa" w:w="110"/>
              <w:bottom w:type="dxa" w:w="80"/>
              <w:right w:type="dxa" w:w="110"/>
            </w:tcMar>
          </w:tcPr>
          <w:p>
            <w:r>
              <w:rPr>
                <w:b w:val="false"/>
                <w:bCs w:val="false"/>
                <w:sz w:val="20"/>
                <w:szCs w:val="20"/>
              </w:rPr>
              <w:t xml:space="preserve">G</w:t>
            </w:r>
          </w:p>
        </w:tc>
        <w:tc>
          <w:tcPr>
            <w:tcW w:type="dxa" w:w="3860"/>
            <w:tcMar>
              <w:top w:type="dxa" w:w="80"/>
              <w:left w:type="dxa" w:w="110"/>
              <w:bottom w:type="dxa" w:w="80"/>
              <w:right w:type="dxa" w:w="110"/>
            </w:tcMar>
          </w:tcPr>
          <w:p>
            <w:r>
              <w:rPr>
                <w:b w:val="false"/>
                <w:bCs w:val="false"/>
                <w:sz w:val="20"/>
                <w:szCs w:val="20"/>
              </w:rPr>
              <w:t xml:space="preserve">BETA-1. They do not exist yet.</w:t>
            </w:r>
          </w:p>
        </w:tc>
      </w:tr>
      <w:tr>
        <w:trPr>
          <w:tblHeader w:val="false"/>
        </w:trPr>
        <w:tc>
          <w:tcPr>
            <w:tcW w:type="dxa" w:w="700"/>
            <w:tcMar>
              <w:top w:type="dxa" w:w="80"/>
              <w:left w:type="dxa" w:w="110"/>
              <w:bottom w:type="dxa" w:w="80"/>
              <w:right w:type="dxa" w:w="110"/>
            </w:tcMar>
          </w:tcPr>
          <w:p>
            <w:r>
              <w:rPr>
                <w:b w:val="false"/>
                <w:bCs w:val="false"/>
                <w:sz w:val="20"/>
                <w:szCs w:val="20"/>
              </w:rPr>
              <w:t xml:space="preserve">C13</w:t>
            </w:r>
          </w:p>
        </w:tc>
        <w:tc>
          <w:tcPr>
            <w:tcW w:type="dxa" w:w="3600"/>
            <w:tcMar>
              <w:top w:type="dxa" w:w="80"/>
              <w:left w:type="dxa" w:w="110"/>
              <w:bottom w:type="dxa" w:w="80"/>
              <w:right w:type="dxa" w:w="110"/>
            </w:tcMar>
          </w:tcPr>
          <w:p>
            <w:r>
              <w:rPr>
                <w:b w:val="false"/>
                <w:bCs w:val="false"/>
                <w:sz w:val="20"/>
                <w:szCs w:val="20"/>
              </w:rPr>
              <w:t xml:space="preserve">Decide who acts if Graeme cannot</w:t>
            </w:r>
          </w:p>
        </w:tc>
        <w:tc>
          <w:tcPr>
            <w:tcW w:type="dxa" w:w="1200"/>
            <w:tcMar>
              <w:top w:type="dxa" w:w="80"/>
              <w:left w:type="dxa" w:w="110"/>
              <w:bottom w:type="dxa" w:w="80"/>
              <w:right w:type="dxa" w:w="110"/>
            </w:tcMar>
          </w:tcPr>
          <w:p>
            <w:r>
              <w:rPr>
                <w:b w:val="false"/>
                <w:bCs w:val="false"/>
                <w:sz w:val="20"/>
                <w:szCs w:val="20"/>
              </w:rPr>
              <w:t xml:space="preserve">G</w:t>
            </w:r>
          </w:p>
        </w:tc>
        <w:tc>
          <w:tcPr>
            <w:tcW w:type="dxa" w:w="3860"/>
            <w:tcMar>
              <w:top w:type="dxa" w:w="80"/>
              <w:left w:type="dxa" w:w="110"/>
              <w:bottom w:type="dxa" w:w="80"/>
              <w:right w:type="dxa" w:w="110"/>
            </w:tcMar>
          </w:tcPr>
          <w:p>
            <w:r>
              <w:rPr>
                <w:b w:val="false"/>
                <w:bCs w:val="false"/>
                <w:sz w:val="20"/>
                <w:szCs w:val="20"/>
              </w:rPr>
              <w:t xml:space="preserve">Not a legal requirement. It is the answer to R12 in the DPIA and there is currently no answer.</w:t>
            </w:r>
          </w:p>
        </w:tc>
      </w:tr>
    </w:tbl>
    <w:p>
      <w:pPr>
        <w:pStyle w:val="Heading2"/>
        <w:spacing w:after="120" w:before="280"/>
      </w:pPr>
      <w:r>
        <w:rPr>
          <w:b/>
          <w:bCs/>
          <w:color w:val="1F4E5F"/>
          <w:sz w:val="26"/>
          <w:szCs w:val="26"/>
        </w:rPr>
        <w:t xml:space="preserve">D. Needs Foot Anstey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200"/>
        <w:gridCol w:w="3860"/>
      </w:tblGrid>
      <w:tr>
        <w:trPr>
          <w:tblHeader/>
        </w:trPr>
        <w:tc>
          <w:tcPr>
            <w:tcW w:type="dxa" w:w="700"/>
            <w:shd w:fill="E4EAEE" w:val="clear"/>
            <w:tcMar>
              <w:top w:type="dxa" w:w="80"/>
              <w:left w:type="dxa" w:w="110"/>
              <w:bottom w:type="dxa" w:w="80"/>
              <w:right w:type="dxa" w:w="110"/>
            </w:tcMar>
          </w:tcPr>
          <w:p>
            <w:r>
              <w:rPr>
                <w:b/>
                <w:bCs/>
                <w:sz w:val="20"/>
                <w:szCs w:val="20"/>
              </w:rPr>
              <w:t xml:space="preserve">Ref</w:t>
            </w:r>
          </w:p>
        </w:tc>
        <w:tc>
          <w:tcPr>
            <w:tcW w:type="dxa" w:w="3600"/>
            <w:shd w:fill="E4EAEE" w:val="clear"/>
            <w:tcMar>
              <w:top w:type="dxa" w:w="80"/>
              <w:left w:type="dxa" w:w="110"/>
              <w:bottom w:type="dxa" w:w="80"/>
              <w:right w:type="dxa" w:w="110"/>
            </w:tcMar>
          </w:tcPr>
          <w:p>
            <w:r>
              <w:rPr>
                <w:b/>
                <w:bCs/>
                <w:sz w:val="20"/>
                <w:szCs w:val="20"/>
              </w:rPr>
              <w:t xml:space="preserve">Item</w:t>
            </w:r>
          </w:p>
        </w:tc>
        <w:tc>
          <w:tcPr>
            <w:tcW w:type="dxa" w:w="1200"/>
            <w:shd w:fill="E4EAEE" w:val="clear"/>
            <w:tcMar>
              <w:top w:type="dxa" w:w="80"/>
              <w:left w:type="dxa" w:w="110"/>
              <w:bottom w:type="dxa" w:w="80"/>
              <w:right w:type="dxa" w:w="110"/>
            </w:tcMar>
          </w:tcPr>
          <w:p>
            <w:r>
              <w:rPr>
                <w:b/>
                <w:bCs/>
                <w:sz w:val="20"/>
                <w:szCs w:val="20"/>
              </w:rPr>
              <w:t xml:space="preserve">Priority</w:t>
            </w:r>
          </w:p>
        </w:tc>
        <w:tc>
          <w:tcPr>
            <w:tcW w:type="dxa" w:w="3860"/>
            <w:shd w:fill="E4EAEE" w:val="clear"/>
            <w:tcMar>
              <w:top w:type="dxa" w:w="80"/>
              <w:left w:type="dxa" w:w="110"/>
              <w:bottom w:type="dxa" w:w="80"/>
              <w:right w:type="dxa" w:w="110"/>
            </w:tcMar>
          </w:tcPr>
          <w:p>
            <w:r>
              <w:rPr>
                <w:b/>
                <w:bCs/>
                <w:sz w:val="20"/>
                <w:szCs w:val="20"/>
              </w:rPr>
              <w:t xml:space="preserve">Why it needs them</w:t>
            </w:r>
          </w:p>
        </w:tc>
      </w:tr>
      <w:tr>
        <w:trPr>
          <w:tblHeader w:val="false"/>
        </w:trPr>
        <w:tc>
          <w:tcPr>
            <w:tcW w:type="dxa" w:w="700"/>
            <w:tcMar>
              <w:top w:type="dxa" w:w="80"/>
              <w:left w:type="dxa" w:w="110"/>
              <w:bottom w:type="dxa" w:w="80"/>
              <w:right w:type="dxa" w:w="110"/>
            </w:tcMar>
          </w:tcPr>
          <w:p>
            <w:r>
              <w:rPr>
                <w:b w:val="false"/>
                <w:bCs w:val="false"/>
                <w:sz w:val="20"/>
                <w:szCs w:val="20"/>
              </w:rPr>
              <w:t xml:space="preserve">D1</w:t>
            </w:r>
          </w:p>
        </w:tc>
        <w:tc>
          <w:tcPr>
            <w:tcW w:type="dxa" w:w="3600"/>
            <w:tcMar>
              <w:top w:type="dxa" w:w="80"/>
              <w:left w:type="dxa" w:w="110"/>
              <w:bottom w:type="dxa" w:w="80"/>
              <w:right w:type="dxa" w:w="110"/>
            </w:tcMar>
          </w:tcPr>
          <w:p>
            <w:r>
              <w:rPr>
                <w:b w:val="false"/>
                <w:bCs w:val="false"/>
                <w:sz w:val="20"/>
                <w:szCs w:val="20"/>
              </w:rPr>
              <w:t xml:space="preserve">Age assurance position for Move — is 18+ with self-declaration defensible?</w:t>
            </w:r>
          </w:p>
        </w:tc>
        <w:tc>
          <w:tcPr>
            <w:tcW w:type="dxa" w:w="1200"/>
            <w:tcMar>
              <w:top w:type="dxa" w:w="80"/>
              <w:left w:type="dxa" w:w="110"/>
              <w:bottom w:type="dxa" w:w="80"/>
              <w:right w:type="dxa" w:w="110"/>
            </w:tcMar>
          </w:tcPr>
          <w:p>
            <w:r>
              <w:rPr>
                <w:b w:val="false"/>
                <w:bCs w:val="false"/>
                <w:sz w:val="20"/>
                <w:szCs w:val="20"/>
              </w:rPr>
              <w:t xml:space="preserve">Highest</w:t>
            </w:r>
          </w:p>
        </w:tc>
        <w:tc>
          <w:tcPr>
            <w:tcW w:type="dxa" w:w="3860"/>
            <w:tcMar>
              <w:top w:type="dxa" w:w="80"/>
              <w:left w:type="dxa" w:w="110"/>
              <w:bottom w:type="dxa" w:w="80"/>
              <w:right w:type="dxa" w:w="110"/>
            </w:tcMar>
          </w:tcPr>
          <w:p>
            <w:r>
              <w:rPr>
                <w:b w:val="false"/>
                <w:bCs w:val="false"/>
                <w:sz w:val="20"/>
                <w:szCs w:val="20"/>
              </w:rPr>
              <w:t xml:space="preserve">The ICO's published position is that self-declaration is unlikely to be effective, and that the Code applies to services likely to be accessed by children regardless of intent. This is a judgement call on risk appetite that should not be made by a non-lawyer.</w:t>
            </w:r>
          </w:p>
        </w:tc>
      </w:tr>
      <w:tr>
        <w:trPr>
          <w:tblHeader w:val="false"/>
        </w:trPr>
        <w:tc>
          <w:tcPr>
            <w:tcW w:type="dxa" w:w="700"/>
            <w:tcMar>
              <w:top w:type="dxa" w:w="80"/>
              <w:left w:type="dxa" w:w="110"/>
              <w:bottom w:type="dxa" w:w="80"/>
              <w:right w:type="dxa" w:w="110"/>
            </w:tcMar>
          </w:tcPr>
          <w:p>
            <w:r>
              <w:rPr>
                <w:b w:val="false"/>
                <w:bCs w:val="false"/>
                <w:sz w:val="20"/>
                <w:szCs w:val="20"/>
              </w:rPr>
              <w:t xml:space="preserve">D2</w:t>
            </w:r>
          </w:p>
        </w:tc>
        <w:tc>
          <w:tcPr>
            <w:tcW w:type="dxa" w:w="3600"/>
            <w:tcMar>
              <w:top w:type="dxa" w:w="80"/>
              <w:left w:type="dxa" w:w="110"/>
              <w:bottom w:type="dxa" w:w="80"/>
              <w:right w:type="dxa" w:w="110"/>
            </w:tcMar>
          </w:tcPr>
          <w:p>
            <w:r>
              <w:rPr>
                <w:b w:val="false"/>
                <w:bCs w:val="false"/>
                <w:sz w:val="20"/>
                <w:szCs w:val="20"/>
              </w:rPr>
              <w:t xml:space="preserve">Review of the adult privacy policy</w:t>
            </w:r>
          </w:p>
        </w:tc>
        <w:tc>
          <w:tcPr>
            <w:tcW w:type="dxa" w:w="1200"/>
            <w:tcMar>
              <w:top w:type="dxa" w:w="80"/>
              <w:left w:type="dxa" w:w="110"/>
              <w:bottom w:type="dxa" w:w="80"/>
              <w:right w:type="dxa" w:w="110"/>
            </w:tcMar>
          </w:tcPr>
          <w:p>
            <w:r>
              <w:rPr>
                <w:b w:val="false"/>
                <w:bCs w:val="false"/>
                <w:sz w:val="20"/>
                <w:szCs w:val="20"/>
              </w:rPr>
              <w:t xml:space="preserve">High</w:t>
            </w:r>
          </w:p>
        </w:tc>
        <w:tc>
          <w:tcPr>
            <w:tcW w:type="dxa" w:w="3860"/>
            <w:tcMar>
              <w:top w:type="dxa" w:w="80"/>
              <w:left w:type="dxa" w:w="110"/>
              <w:bottom w:type="dxa" w:w="80"/>
              <w:right w:type="dxa" w:w="110"/>
            </w:tcMar>
          </w:tcPr>
          <w:p>
            <w:r>
              <w:rPr>
                <w:b w:val="false"/>
                <w:bCs w:val="false"/>
                <w:sz w:val="20"/>
                <w:szCs w:val="20"/>
              </w:rPr>
              <w:t xml:space="preserve">Bethany has offered an initial look and a revised fee estimate. That offer is the cheapest route available.</w:t>
            </w:r>
          </w:p>
        </w:tc>
      </w:tr>
      <w:tr>
        <w:trPr>
          <w:tblHeader w:val="false"/>
        </w:trPr>
        <w:tc>
          <w:tcPr>
            <w:tcW w:type="dxa" w:w="700"/>
            <w:tcMar>
              <w:top w:type="dxa" w:w="80"/>
              <w:left w:type="dxa" w:w="110"/>
              <w:bottom w:type="dxa" w:w="80"/>
              <w:right w:type="dxa" w:w="110"/>
            </w:tcMar>
          </w:tcPr>
          <w:p>
            <w:r>
              <w:rPr>
                <w:b w:val="false"/>
                <w:bCs w:val="false"/>
                <w:sz w:val="20"/>
                <w:szCs w:val="20"/>
              </w:rPr>
              <w:t xml:space="preserve">D3</w:t>
            </w:r>
          </w:p>
        </w:tc>
        <w:tc>
          <w:tcPr>
            <w:tcW w:type="dxa" w:w="3600"/>
            <w:tcMar>
              <w:top w:type="dxa" w:w="80"/>
              <w:left w:type="dxa" w:w="110"/>
              <w:bottom w:type="dxa" w:w="80"/>
              <w:right w:type="dxa" w:w="110"/>
            </w:tcMar>
          </w:tcPr>
          <w:p>
            <w:r>
              <w:rPr>
                <w:b w:val="false"/>
                <w:bCs w:val="false"/>
                <w:sz w:val="20"/>
                <w:szCs w:val="20"/>
              </w:rPr>
              <w:t xml:space="preserve">Trial and cooling-off interaction under the Consumer Contracts Regulations</w:t>
            </w:r>
          </w:p>
        </w:tc>
        <w:tc>
          <w:tcPr>
            <w:tcW w:type="dxa" w:w="1200"/>
            <w:tcMar>
              <w:top w:type="dxa" w:w="80"/>
              <w:left w:type="dxa" w:w="110"/>
              <w:bottom w:type="dxa" w:w="80"/>
              <w:right w:type="dxa" w:w="110"/>
            </w:tcMar>
          </w:tcPr>
          <w:p>
            <w:r>
              <w:rPr>
                <w:b w:val="false"/>
                <w:bCs w:val="false"/>
                <w:sz w:val="20"/>
                <w:szCs w:val="20"/>
              </w:rPr>
              <w:t xml:space="preserve">High</w:t>
            </w:r>
          </w:p>
        </w:tc>
        <w:tc>
          <w:tcPr>
            <w:tcW w:type="dxa" w:w="3860"/>
            <w:tcMar>
              <w:top w:type="dxa" w:w="80"/>
              <w:left w:type="dxa" w:w="110"/>
              <w:bottom w:type="dxa" w:w="80"/>
              <w:right w:type="dxa" w:w="110"/>
            </w:tcMar>
          </w:tcPr>
          <w:p>
            <w:r>
              <w:rPr>
                <w:b w:val="false"/>
                <w:bCs w:val="false"/>
                <w:sz w:val="20"/>
                <w:szCs w:val="20"/>
              </w:rPr>
              <w:t xml:space="preserve">Open since July. Blocks the trial mechanics.</w:t>
            </w:r>
          </w:p>
        </w:tc>
      </w:tr>
      <w:tr>
        <w:trPr>
          <w:tblHeader w:val="false"/>
        </w:trPr>
        <w:tc>
          <w:tcPr>
            <w:tcW w:type="dxa" w:w="700"/>
            <w:tcMar>
              <w:top w:type="dxa" w:w="80"/>
              <w:left w:type="dxa" w:w="110"/>
              <w:bottom w:type="dxa" w:w="80"/>
              <w:right w:type="dxa" w:w="110"/>
            </w:tcMar>
          </w:tcPr>
          <w:p>
            <w:r>
              <w:rPr>
                <w:b w:val="false"/>
                <w:bCs w:val="false"/>
                <w:sz w:val="20"/>
                <w:szCs w:val="20"/>
              </w:rPr>
              <w:t xml:space="preserve">D4</w:t>
            </w:r>
          </w:p>
        </w:tc>
        <w:tc>
          <w:tcPr>
            <w:tcW w:type="dxa" w:w="3600"/>
            <w:tcMar>
              <w:top w:type="dxa" w:w="80"/>
              <w:left w:type="dxa" w:w="110"/>
              <w:bottom w:type="dxa" w:w="80"/>
              <w:right w:type="dxa" w:w="110"/>
            </w:tcMar>
          </w:tcPr>
          <w:p>
            <w:r>
              <w:rPr>
                <w:b w:val="false"/>
                <w:bCs w:val="false"/>
                <w:sz w:val="20"/>
                <w:szCs w:val="20"/>
              </w:rPr>
              <w:t xml:space="preserve">Website terms and conditions</w:t>
            </w:r>
          </w:p>
        </w:tc>
        <w:tc>
          <w:tcPr>
            <w:tcW w:type="dxa" w:w="1200"/>
            <w:tcMar>
              <w:top w:type="dxa" w:w="80"/>
              <w:left w:type="dxa" w:w="110"/>
              <w:bottom w:type="dxa" w:w="80"/>
              <w:right w:type="dxa" w:w="110"/>
            </w:tcMar>
          </w:tcPr>
          <w:p>
            <w:r>
              <w:rPr>
                <w:b w:val="false"/>
                <w:bCs w:val="false"/>
                <w:sz w:val="20"/>
                <w:szCs w:val="20"/>
              </w:rPr>
              <w:t xml:space="preserve">Medium</w:t>
            </w:r>
          </w:p>
        </w:tc>
        <w:tc>
          <w:tcPr>
            <w:tcW w:type="dxa" w:w="3860"/>
            <w:tcMar>
              <w:top w:type="dxa" w:w="80"/>
              <w:left w:type="dxa" w:w="110"/>
              <w:bottom w:type="dxa" w:w="80"/>
              <w:right w:type="dxa" w:w="110"/>
            </w:tcMar>
          </w:tcPr>
          <w:p>
            <w:r>
              <w:rPr>
                <w:b w:val="false"/>
                <w:bCs w:val="false"/>
                <w:sz w:val="20"/>
                <w:szCs w:val="20"/>
              </w:rPr>
              <w:t xml:space="preserve">Fee to be confirmed after a scoping call.</w:t>
            </w:r>
          </w:p>
        </w:tc>
      </w:tr>
      <w:tr>
        <w:trPr>
          <w:tblHeader w:val="false"/>
        </w:trPr>
        <w:tc>
          <w:tcPr>
            <w:tcW w:type="dxa" w:w="700"/>
            <w:tcMar>
              <w:top w:type="dxa" w:w="80"/>
              <w:left w:type="dxa" w:w="110"/>
              <w:bottom w:type="dxa" w:w="80"/>
              <w:right w:type="dxa" w:w="110"/>
            </w:tcMar>
          </w:tcPr>
          <w:p>
            <w:r>
              <w:rPr>
                <w:b w:val="false"/>
                <w:bCs w:val="false"/>
                <w:sz w:val="20"/>
                <w:szCs w:val="20"/>
              </w:rPr>
              <w:t xml:space="preserve">D5</w:t>
            </w:r>
          </w:p>
        </w:tc>
        <w:tc>
          <w:tcPr>
            <w:tcW w:type="dxa" w:w="3600"/>
            <w:tcMar>
              <w:top w:type="dxa" w:w="80"/>
              <w:left w:type="dxa" w:w="110"/>
              <w:bottom w:type="dxa" w:w="80"/>
              <w:right w:type="dxa" w:w="110"/>
            </w:tcMar>
          </w:tcPr>
          <w:p>
            <w:r>
              <w:rPr>
                <w:b w:val="false"/>
                <w:bCs w:val="false"/>
                <w:sz w:val="20"/>
                <w:szCs w:val="20"/>
              </w:rPr>
              <w:t xml:space="preserve">Safeguarding and regulatory advice</w:t>
            </w:r>
          </w:p>
        </w:tc>
        <w:tc>
          <w:tcPr>
            <w:tcW w:type="dxa" w:w="1200"/>
            <w:tcMar>
              <w:top w:type="dxa" w:w="80"/>
              <w:left w:type="dxa" w:w="110"/>
              <w:bottom w:type="dxa" w:w="80"/>
              <w:right w:type="dxa" w:w="110"/>
            </w:tcMar>
          </w:tcPr>
          <w:p>
            <w:r>
              <w:rPr>
                <w:b w:val="false"/>
                <w:bCs w:val="false"/>
                <w:sz w:val="20"/>
                <w:szCs w:val="20"/>
              </w:rPr>
              <w:t xml:space="preserve">Medium</w:t>
            </w:r>
          </w:p>
        </w:tc>
        <w:tc>
          <w:tcPr>
            <w:tcW w:type="dxa" w:w="3860"/>
            <w:tcMar>
              <w:top w:type="dxa" w:w="80"/>
              <w:left w:type="dxa" w:w="110"/>
              <w:bottom w:type="dxa" w:w="80"/>
              <w:right w:type="dxa" w:w="110"/>
            </w:tcMar>
          </w:tcPr>
          <w:p>
            <w:r>
              <w:rPr>
                <w:b w:val="false"/>
                <w:bCs w:val="false"/>
                <w:sz w:val="20"/>
                <w:szCs w:val="20"/>
              </w:rPr>
              <w:t xml:space="preserve">Fee to be confirmed. Interacts with D1.</w:t>
            </w:r>
          </w:p>
        </w:tc>
      </w:tr>
      <w:tr>
        <w:trPr>
          <w:tblHeader w:val="false"/>
        </w:trPr>
        <w:tc>
          <w:tcPr>
            <w:tcW w:type="dxa" w:w="700"/>
            <w:tcMar>
              <w:top w:type="dxa" w:w="80"/>
              <w:left w:type="dxa" w:w="110"/>
              <w:bottom w:type="dxa" w:w="80"/>
              <w:right w:type="dxa" w:w="110"/>
            </w:tcMar>
          </w:tcPr>
          <w:p>
            <w:r>
              <w:rPr>
                <w:b w:val="false"/>
                <w:bCs w:val="false"/>
                <w:sz w:val="20"/>
                <w:szCs w:val="20"/>
              </w:rPr>
              <w:t xml:space="preserve">D6</w:t>
            </w:r>
          </w:p>
        </w:tc>
        <w:tc>
          <w:tcPr>
            <w:tcW w:type="dxa" w:w="3600"/>
            <w:tcMar>
              <w:top w:type="dxa" w:w="80"/>
              <w:left w:type="dxa" w:w="110"/>
              <w:bottom w:type="dxa" w:w="80"/>
              <w:right w:type="dxa" w:w="110"/>
            </w:tcMar>
          </w:tcPr>
          <w:p>
            <w:r>
              <w:rPr>
                <w:b w:val="false"/>
                <w:bCs w:val="false"/>
                <w:sz w:val="20"/>
                <w:szCs w:val="20"/>
              </w:rPr>
              <w:t xml:space="preserve">Article 6 basis for health data — consent or contract?</w:t>
            </w:r>
          </w:p>
        </w:tc>
        <w:tc>
          <w:tcPr>
            <w:tcW w:type="dxa" w:w="1200"/>
            <w:tcMar>
              <w:top w:type="dxa" w:w="80"/>
              <w:left w:type="dxa" w:w="110"/>
              <w:bottom w:type="dxa" w:w="80"/>
              <w:right w:type="dxa" w:w="110"/>
            </w:tcMar>
          </w:tcPr>
          <w:p>
            <w:r>
              <w:rPr>
                <w:b w:val="false"/>
                <w:bCs w:val="false"/>
                <w:sz w:val="20"/>
                <w:szCs w:val="20"/>
              </w:rPr>
              <w:t xml:space="preserve">Medium</w:t>
            </w:r>
          </w:p>
        </w:tc>
        <w:tc>
          <w:tcPr>
            <w:tcW w:type="dxa" w:w="3860"/>
            <w:tcMar>
              <w:top w:type="dxa" w:w="80"/>
              <w:left w:type="dxa" w:w="110"/>
              <w:bottom w:type="dxa" w:w="80"/>
              <w:right w:type="dxa" w:w="110"/>
            </w:tcMar>
          </w:tcPr>
          <w:p>
            <w:r>
              <w:rPr>
                <w:b w:val="false"/>
                <w:bCs w:val="false"/>
                <w:sz w:val="20"/>
                <w:szCs w:val="20"/>
              </w:rPr>
              <w:t xml:space="preserve">Changes what withdrawal means. Better settled before beta than after.</w:t>
            </w:r>
          </w:p>
        </w:tc>
      </w:tr>
      <w:tr>
        <w:trPr>
          <w:tblHeader w:val="false"/>
        </w:trPr>
        <w:tc>
          <w:tcPr>
            <w:tcW w:type="dxa" w:w="700"/>
            <w:tcMar>
              <w:top w:type="dxa" w:w="80"/>
              <w:left w:type="dxa" w:w="110"/>
              <w:bottom w:type="dxa" w:w="80"/>
              <w:right w:type="dxa" w:w="110"/>
            </w:tcMar>
          </w:tcPr>
          <w:p>
            <w:r>
              <w:rPr>
                <w:b w:val="false"/>
                <w:bCs w:val="false"/>
                <w:sz w:val="20"/>
                <w:szCs w:val="20"/>
              </w:rPr>
              <w:t xml:space="preserve">D7</w:t>
            </w:r>
          </w:p>
        </w:tc>
        <w:tc>
          <w:tcPr>
            <w:tcW w:type="dxa" w:w="3600"/>
            <w:tcMar>
              <w:top w:type="dxa" w:w="80"/>
              <w:left w:type="dxa" w:w="110"/>
              <w:bottom w:type="dxa" w:w="80"/>
              <w:right w:type="dxa" w:w="110"/>
            </w:tcMar>
          </w:tcPr>
          <w:p>
            <w:r>
              <w:rPr>
                <w:b w:val="false"/>
                <w:bCs w:val="false"/>
                <w:sz w:val="20"/>
                <w:szCs w:val="20"/>
              </w:rPr>
              <w:t xml:space="preserve">Article 22 position on automated personalisation</w:t>
            </w:r>
          </w:p>
        </w:tc>
        <w:tc>
          <w:tcPr>
            <w:tcW w:type="dxa" w:w="1200"/>
            <w:tcMar>
              <w:top w:type="dxa" w:w="80"/>
              <w:left w:type="dxa" w:w="110"/>
              <w:bottom w:type="dxa" w:w="80"/>
              <w:right w:type="dxa" w:w="110"/>
            </w:tcMar>
          </w:tcPr>
          <w:p>
            <w:r>
              <w:rPr>
                <w:b w:val="false"/>
                <w:bCs w:val="false"/>
                <w:sz w:val="20"/>
                <w:szCs w:val="20"/>
              </w:rPr>
              <w:t xml:space="preserve">Medium</w:t>
            </w:r>
          </w:p>
        </w:tc>
        <w:tc>
          <w:tcPr>
            <w:tcW w:type="dxa" w:w="3860"/>
            <w:tcMar>
              <w:top w:type="dxa" w:w="80"/>
              <w:left w:type="dxa" w:w="110"/>
              <w:bottom w:type="dxa" w:w="80"/>
              <w:right w:type="dxa" w:w="110"/>
            </w:tcMar>
          </w:tcPr>
          <w:p>
            <w:r>
              <w:rPr>
                <w:b w:val="false"/>
                <w:bCs w:val="false"/>
                <w:sz w:val="20"/>
                <w:szCs w:val="20"/>
              </w:rPr>
              <w:t xml:space="preserve">Our analysis is that it is not engaged. Worth one line of confirmation.</w:t>
            </w:r>
          </w:p>
        </w:tc>
      </w:tr>
      <w:tr>
        <w:trPr>
          <w:tblHeader w:val="false"/>
        </w:trPr>
        <w:tc>
          <w:tcPr>
            <w:tcW w:type="dxa" w:w="700"/>
            <w:tcMar>
              <w:top w:type="dxa" w:w="80"/>
              <w:left w:type="dxa" w:w="110"/>
              <w:bottom w:type="dxa" w:w="80"/>
              <w:right w:type="dxa" w:w="110"/>
            </w:tcMar>
          </w:tcPr>
          <w:p>
            <w:r>
              <w:rPr>
                <w:b w:val="false"/>
                <w:bCs w:val="false"/>
                <w:sz w:val="20"/>
                <w:szCs w:val="20"/>
              </w:rPr>
              <w:t xml:space="preserve">D8</w:t>
            </w:r>
          </w:p>
        </w:tc>
        <w:tc>
          <w:tcPr>
            <w:tcW w:type="dxa" w:w="3600"/>
            <w:tcMar>
              <w:top w:type="dxa" w:w="80"/>
              <w:left w:type="dxa" w:w="110"/>
              <w:bottom w:type="dxa" w:w="80"/>
              <w:right w:type="dxa" w:w="110"/>
            </w:tcMar>
          </w:tcPr>
          <w:p>
            <w:r>
              <w:rPr>
                <w:b w:val="false"/>
                <w:bCs w:val="false"/>
                <w:sz w:val="20"/>
                <w:szCs w:val="20"/>
              </w:rPr>
              <w:t xml:space="preserve">PECR soft opt-in and the permanent free tier</w:t>
            </w:r>
          </w:p>
        </w:tc>
        <w:tc>
          <w:tcPr>
            <w:tcW w:type="dxa" w:w="1200"/>
            <w:tcMar>
              <w:top w:type="dxa" w:w="80"/>
              <w:left w:type="dxa" w:w="110"/>
              <w:bottom w:type="dxa" w:w="80"/>
              <w:right w:type="dxa" w:w="110"/>
            </w:tcMar>
          </w:tcPr>
          <w:p>
            <w:r>
              <w:rPr>
                <w:b w:val="false"/>
                <w:bCs w:val="false"/>
                <w:sz w:val="20"/>
                <w:szCs w:val="20"/>
              </w:rPr>
              <w:t xml:space="preserve">Low</w:t>
            </w:r>
          </w:p>
        </w:tc>
        <w:tc>
          <w:tcPr>
            <w:tcW w:type="dxa" w:w="3860"/>
            <w:tcMar>
              <w:top w:type="dxa" w:w="80"/>
              <w:left w:type="dxa" w:w="110"/>
              <w:bottom w:type="dxa" w:w="80"/>
              <w:right w:type="dxa" w:w="110"/>
            </w:tcMar>
          </w:tcPr>
          <w:p>
            <w:r>
              <w:rPr>
                <w:b w:val="false"/>
                <w:bCs w:val="false"/>
                <w:sz w:val="20"/>
                <w:szCs w:val="20"/>
              </w:rPr>
              <w:t xml:space="preserve">We default to explicit opt-in either way, so nothing is blocked on it.</w:t>
            </w:r>
          </w:p>
        </w:tc>
      </w:tr>
      <w:tr>
        <w:trPr>
          <w:tblHeader w:val="false"/>
        </w:trPr>
        <w:tc>
          <w:tcPr>
            <w:tcW w:type="dxa" w:w="700"/>
            <w:tcMar>
              <w:top w:type="dxa" w:w="80"/>
              <w:left w:type="dxa" w:w="110"/>
              <w:bottom w:type="dxa" w:w="80"/>
              <w:right w:type="dxa" w:w="110"/>
            </w:tcMar>
          </w:tcPr>
          <w:p>
            <w:r>
              <w:rPr>
                <w:b w:val="false"/>
                <w:bCs w:val="false"/>
                <w:sz w:val="20"/>
                <w:szCs w:val="20"/>
              </w:rPr>
              <w:t xml:space="preserve">D9</w:t>
            </w:r>
          </w:p>
        </w:tc>
        <w:tc>
          <w:tcPr>
            <w:tcW w:type="dxa" w:w="3600"/>
            <w:tcMar>
              <w:top w:type="dxa" w:w="80"/>
              <w:left w:type="dxa" w:w="110"/>
              <w:bottom w:type="dxa" w:w="80"/>
              <w:right w:type="dxa" w:w="110"/>
            </w:tcMar>
          </w:tcPr>
          <w:p>
            <w:r>
              <w:rPr>
                <w:b w:val="false"/>
                <w:bCs w:val="false"/>
                <w:sz w:val="20"/>
                <w:szCs w:val="20"/>
              </w:rPr>
              <w:t xml:space="preserve">Trade mark application</w:t>
            </w:r>
          </w:p>
        </w:tc>
        <w:tc>
          <w:tcPr>
            <w:tcW w:type="dxa" w:w="1200"/>
            <w:tcMar>
              <w:top w:type="dxa" w:w="80"/>
              <w:left w:type="dxa" w:w="110"/>
              <w:bottom w:type="dxa" w:w="80"/>
              <w:right w:type="dxa" w:w="110"/>
            </w:tcMar>
          </w:tcPr>
          <w:p>
            <w:r>
              <w:rPr>
                <w:b w:val="false"/>
                <w:bCs w:val="false"/>
                <w:sz w:val="20"/>
                <w:szCs w:val="20"/>
              </w:rPr>
              <w:t xml:space="preserve">Defer</w:t>
            </w:r>
          </w:p>
        </w:tc>
        <w:tc>
          <w:tcPr>
            <w:tcW w:type="dxa" w:w="3860"/>
            <w:tcMar>
              <w:top w:type="dxa" w:w="80"/>
              <w:left w:type="dxa" w:w="110"/>
              <w:bottom w:type="dxa" w:w="80"/>
              <w:right w:type="dxa" w:w="110"/>
            </w:tcMar>
          </w:tcPr>
          <w:p>
            <w:r>
              <w:rPr>
                <w:b w:val="false"/>
                <w:bCs w:val="false"/>
                <w:sz w:val="20"/>
                <w:szCs w:val="20"/>
              </w:rPr>
              <w:t xml:space="preserve">£1,455 plus £310 per additional class. Not a launch blocker.</w:t>
            </w:r>
          </w:p>
        </w:tc>
      </w:tr>
    </w:tbl>
    <w:p>
      <w:pPr>
        <w:pStyle w:val="Heading2"/>
        <w:spacing w:after="120" w:before="280"/>
      </w:pPr>
      <w:r>
        <w:rPr>
          <w:b/>
          <w:bCs/>
          <w:color w:val="1F4E5F"/>
          <w:sz w:val="26"/>
          <w:szCs w:val="26"/>
        </w:rPr>
        <w:t xml:space="preserve">E. Alongside: Learn — a separate workstream, not an extension of this one</w:t>
      </w:r>
    </w:p>
    <w:p>
      <w:pPr>
        <w:spacing w:after="140"/>
      </w:pPr>
      <w:r>
        <w:rPr>
          <w:sz w:val="22"/>
          <w:szCs w:val="22"/>
        </w:rPr>
        <w:t xml:space="preserve">Learn is intended to be used by children. That is a different regulatory product, not a harder version of this one, and the difference should be structural from the start.</w:t>
      </w:r>
    </w:p>
    <w:p>
      <w:pPr>
        <w:pStyle w:val="ListParagraph"/>
        <w:numPr>
          <w:ilvl w:val="0"/>
          <w:numId w:val="2"/>
        </w:numPr>
        <w:spacing w:after="80"/>
      </w:pPr>
      <w:r>
        <w:rPr>
          <w:sz w:val="22"/>
          <w:szCs w:val="22"/>
        </w:rPr>
        <w:t xml:space="preserve">The Children's Code applies by design, not by assessment. Every one of its fifteen standards is a build constraint, including high privacy by default, data minimisation, no nudge techniques, and no profiling by default.</w:t>
      </w:r>
    </w:p>
    <w:p>
      <w:pPr>
        <w:pStyle w:val="ListParagraph"/>
        <w:numPr>
          <w:ilvl w:val="0"/>
          <w:numId w:val="2"/>
        </w:numPr>
        <w:spacing w:after="80"/>
      </w:pPr>
      <w:r>
        <w:rPr>
          <w:sz w:val="22"/>
          <w:szCs w:val="22"/>
        </w:rPr>
        <w:t xml:space="preserve">Age assurance is required, not optional, and self-declaration will not do.</w:t>
      </w:r>
    </w:p>
    <w:p>
      <w:pPr>
        <w:pStyle w:val="ListParagraph"/>
        <w:numPr>
          <w:ilvl w:val="0"/>
          <w:numId w:val="2"/>
        </w:numPr>
        <w:spacing w:after="80"/>
      </w:pPr>
      <w:r>
        <w:rPr>
          <w:sz w:val="22"/>
          <w:szCs w:val="22"/>
        </w:rPr>
        <w:t xml:space="preserve">Its own DPIA, done before any build decision is locked, with consultation involving children and parents. The ICO is explicit that consultation matters more for children's services and that a decision not to consult must be recorded and justified.</w:t>
      </w:r>
    </w:p>
    <w:p>
      <w:pPr>
        <w:pStyle w:val="ListParagraph"/>
        <w:numPr>
          <w:ilvl w:val="0"/>
          <w:numId w:val="2"/>
        </w:numPr>
        <w:spacing w:after="80"/>
      </w:pPr>
      <w:r>
        <w:rPr>
          <w:sz w:val="22"/>
          <w:szCs w:val="22"/>
        </w:rPr>
        <w:t xml:space="preserve">Online Safety Act duties need scoping. That is Ofcom, not the ICO, and it is a separate question from data protection.</w:t>
      </w:r>
    </w:p>
    <w:p>
      <w:pPr>
        <w:pStyle w:val="ListParagraph"/>
        <w:numPr>
          <w:ilvl w:val="0"/>
          <w:numId w:val="2"/>
        </w:numPr>
        <w:spacing w:after="80"/>
      </w:pPr>
      <w:r>
        <w:rPr>
          <w:sz w:val="22"/>
          <w:szCs w:val="22"/>
        </w:rPr>
        <w:t xml:space="preserve">A children's privacy notice written to be understood by the age group it addresses. This is the £2,000 line in Natalie's estimate and it is the one that is hardest to self-draft.</w:t>
      </w:r>
    </w:p>
    <w:p>
      <w:pPr>
        <w:spacing w:after="140"/>
      </w:pPr>
      <w:r>
        <w:rPr>
          <w:sz w:val="22"/>
          <w:szCs w:val="22"/>
        </w:rPr>
        <w:t xml:space="preserve">The practical point: do not let Learn's requirements arrive as a surprise in month ten, and do not let its needs slow Move's January launch. Scope it as its own project with its own DPIA now, at zero cost, so the shape of the work is known. Then decide what to buy and when.</w:t>
      </w:r>
    </w:p>
    <w:p>
      <w:pPr>
        <w:spacing w:after="140"/>
      </w:pPr>
      <w:r>
        <w:rPr>
          <w:sz w:val="22"/>
          <w:szCs w:val="22"/>
        </w:rPr>
        <w:t xml:space="preserve">The reverse risk is worth naming too. If Move's 18+ position turns out to be thin, and Learn is then marketed by the same business to children, a regulator looking at the two together sees one organisation that took children's data seriously in one product and not the other. Getting D1 right protects both.</w:t>
      </w:r>
    </w:p>
    <w:p>
      <w:pPr>
        <w:pStyle w:val="Heading1"/>
        <w:spacing w:after="160" w:before="360"/>
      </w:pPr>
      <w:r>
        <w:rPr>
          <w:b/>
          <w:bCs/>
          <w:color w:val="1F4E5F"/>
          <w:sz w:val="32"/>
          <w:szCs w:val="32"/>
        </w:rPr>
        <w:t xml:space="preserve">Recommended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shd w:fill="E4EAEE" w:val="clear"/>
            <w:tcMar>
              <w:top w:type="dxa" w:w="80"/>
              <w:left w:type="dxa" w:w="110"/>
              <w:bottom w:type="dxa" w:w="80"/>
              <w:right w:type="dxa" w:w="110"/>
            </w:tcMar>
          </w:tcPr>
          <w:p>
            <w:r>
              <w:rPr>
                <w:b/>
                <w:bCs/>
                <w:sz w:val="20"/>
                <w:szCs w:val="20"/>
              </w:rPr>
              <w:t xml:space="preserve">When</w:t>
            </w:r>
          </w:p>
        </w:tc>
        <w:tc>
          <w:tcPr>
            <w:tcW w:type="dxa" w:w="3600"/>
            <w:shd w:fill="E4EAEE" w:val="clear"/>
            <w:tcMar>
              <w:top w:type="dxa" w:w="80"/>
              <w:left w:type="dxa" w:w="110"/>
              <w:bottom w:type="dxa" w:w="80"/>
              <w:right w:type="dxa" w:w="110"/>
            </w:tcMar>
          </w:tcPr>
          <w:p>
            <w:r>
              <w:rPr>
                <w:b/>
                <w:bCs/>
                <w:sz w:val="20"/>
                <w:szCs w:val="20"/>
              </w:rPr>
              <w:t xml:space="preserve">What</w:t>
            </w:r>
          </w:p>
        </w:tc>
        <w:tc>
          <w:tcPr>
            <w:tcW w:type="dxa" w:w="4360"/>
            <w:shd w:fill="E4EAEE" w:val="clear"/>
            <w:tcMar>
              <w:top w:type="dxa" w:w="80"/>
              <w:left w:type="dxa" w:w="110"/>
              <w:bottom w:type="dxa" w:w="80"/>
              <w:right w:type="dxa" w:w="110"/>
            </w:tcMar>
          </w:tcPr>
          <w:p>
            <w:r>
              <w:rPr>
                <w:b/>
                <w:bCs/>
                <w:sz w:val="20"/>
                <w:szCs w:val="20"/>
              </w:rPr>
              <w:t xml:space="preserve">Why this order</w:t>
            </w:r>
          </w:p>
        </w:tc>
      </w:tr>
      <w:tr>
        <w:trPr>
          <w:tblHeader w:val="false"/>
        </w:trPr>
        <w:tc>
          <w:tcPr>
            <w:tcW w:type="dxa" w:w="1400"/>
            <w:tcMar>
              <w:top w:type="dxa" w:w="80"/>
              <w:left w:type="dxa" w:w="110"/>
              <w:bottom w:type="dxa" w:w="80"/>
              <w:right w:type="dxa" w:w="110"/>
            </w:tcMar>
          </w:tcPr>
          <w:p>
            <w:r>
              <w:rPr>
                <w:b w:val="false"/>
                <w:bCs w:val="false"/>
                <w:sz w:val="20"/>
                <w:szCs w:val="20"/>
              </w:rPr>
              <w:t xml:space="preserve">This week</w:t>
            </w:r>
          </w:p>
        </w:tc>
        <w:tc>
          <w:tcPr>
            <w:tcW w:type="dxa" w:w="3600"/>
            <w:tcMar>
              <w:top w:type="dxa" w:w="80"/>
              <w:left w:type="dxa" w:w="110"/>
              <w:bottom w:type="dxa" w:w="80"/>
              <w:right w:type="dxa" w:w="110"/>
            </w:tcMar>
          </w:tcPr>
          <w:p>
            <w:r>
              <w:rPr>
                <w:b w:val="false"/>
                <w:bCs w:val="false"/>
                <w:sz w:val="20"/>
                <w:szCs w:val="20"/>
              </w:rPr>
              <w:t xml:space="preserve">C1 ROPA, C2 breach, C3 complaints, C5 LIAs</w:t>
            </w:r>
          </w:p>
        </w:tc>
        <w:tc>
          <w:tcPr>
            <w:tcW w:type="dxa" w:w="4360"/>
            <w:tcMar>
              <w:top w:type="dxa" w:w="80"/>
              <w:left w:type="dxa" w:w="110"/>
              <w:bottom w:type="dxa" w:w="80"/>
              <w:right w:type="dxa" w:w="110"/>
            </w:tcMar>
          </w:tcPr>
          <w:p>
            <w:r>
              <w:rPr>
                <w:b w:val="false"/>
                <w:bCs w:val="false"/>
                <w:sz w:val="20"/>
                <w:szCs w:val="20"/>
              </w:rPr>
              <w:t xml:space="preserve">Free, entirely within our control, and C1, C2 and C3 are live legal duties right now. The ROPA also makes everything else faster, because it forces the facts into one place.</w:t>
            </w:r>
          </w:p>
        </w:tc>
      </w:tr>
      <w:tr>
        <w:trPr>
          <w:tblHeader w:val="false"/>
        </w:trPr>
        <w:tc>
          <w:tcPr>
            <w:tcW w:type="dxa" w:w="1400"/>
            <w:tcMar>
              <w:top w:type="dxa" w:w="80"/>
              <w:left w:type="dxa" w:w="110"/>
              <w:bottom w:type="dxa" w:w="80"/>
              <w:right w:type="dxa" w:w="110"/>
            </w:tcMar>
          </w:tcPr>
          <w:p>
            <w:r>
              <w:rPr>
                <w:b w:val="false"/>
                <w:bCs w:val="false"/>
                <w:sz w:val="20"/>
                <w:szCs w:val="20"/>
              </w:rPr>
              <w:t xml:space="preserve">This week</w:t>
            </w:r>
          </w:p>
        </w:tc>
        <w:tc>
          <w:tcPr>
            <w:tcW w:type="dxa" w:w="3600"/>
            <w:tcMar>
              <w:top w:type="dxa" w:w="80"/>
              <w:left w:type="dxa" w:w="110"/>
              <w:bottom w:type="dxa" w:w="80"/>
              <w:right w:type="dxa" w:w="110"/>
            </w:tcMar>
          </w:tcPr>
          <w:p>
            <w:r>
              <w:rPr>
                <w:b w:val="false"/>
                <w:bCs w:val="false"/>
                <w:sz w:val="20"/>
                <w:szCs w:val="20"/>
              </w:rPr>
              <w:t xml:space="preserve">Align the 13+/16+/18+ contradiction</w:t>
            </w:r>
          </w:p>
        </w:tc>
        <w:tc>
          <w:tcPr>
            <w:tcW w:type="dxa" w:w="4360"/>
            <w:tcMar>
              <w:top w:type="dxa" w:w="80"/>
              <w:left w:type="dxa" w:w="110"/>
              <w:bottom w:type="dxa" w:w="80"/>
              <w:right w:type="dxa" w:w="110"/>
            </w:tcMar>
          </w:tcPr>
          <w:p>
            <w:r>
              <w:rPr>
                <w:b w:val="false"/>
                <w:bCs w:val="false"/>
                <w:sz w:val="20"/>
                <w:szCs w:val="20"/>
              </w:rPr>
              <w:t xml:space="preserve">Cannot send documents to a solicitor that disagree with each other.</w:t>
            </w:r>
          </w:p>
        </w:tc>
      </w:tr>
      <w:tr>
        <w:trPr>
          <w:tblHeader w:val="false"/>
        </w:trPr>
        <w:tc>
          <w:tcPr>
            <w:tcW w:type="dxa" w:w="1400"/>
            <w:tcMar>
              <w:top w:type="dxa" w:w="80"/>
              <w:left w:type="dxa" w:w="110"/>
              <w:bottom w:type="dxa" w:w="80"/>
              <w:right w:type="dxa" w:w="110"/>
            </w:tcMar>
          </w:tcPr>
          <w:p>
            <w:r>
              <w:rPr>
                <w:b w:val="false"/>
                <w:bCs w:val="false"/>
                <w:sz w:val="20"/>
                <w:szCs w:val="20"/>
              </w:rPr>
              <w:t xml:space="preserve">This week</w:t>
            </w:r>
          </w:p>
        </w:tc>
        <w:tc>
          <w:tcPr>
            <w:tcW w:type="dxa" w:w="3600"/>
            <w:tcMar>
              <w:top w:type="dxa" w:w="80"/>
              <w:left w:type="dxa" w:w="110"/>
              <w:bottom w:type="dxa" w:w="80"/>
              <w:right w:type="dxa" w:w="110"/>
            </w:tcMar>
          </w:tcPr>
          <w:p>
            <w:r>
              <w:rPr>
                <w:b w:val="false"/>
                <w:bCs w:val="false"/>
                <w:sz w:val="20"/>
                <w:szCs w:val="20"/>
              </w:rPr>
              <w:t xml:space="preserve">Call the ICO about B3</w:t>
            </w:r>
          </w:p>
        </w:tc>
        <w:tc>
          <w:tcPr>
            <w:tcW w:type="dxa" w:w="4360"/>
            <w:tcMar>
              <w:top w:type="dxa" w:w="80"/>
              <w:left w:type="dxa" w:w="110"/>
              <w:bottom w:type="dxa" w:w="80"/>
              <w:right w:type="dxa" w:w="110"/>
            </w:tcMar>
          </w:tcPr>
          <w:p>
            <w:r>
              <w:rPr>
                <w:b w:val="false"/>
                <w:bCs w:val="false"/>
                <w:sz w:val="20"/>
                <w:szCs w:val="20"/>
              </w:rPr>
              <w:t xml:space="preserve">One call. Might unblock registration weeks early.</w:t>
            </w:r>
          </w:p>
        </w:tc>
      </w:tr>
      <w:tr>
        <w:trPr>
          <w:tblHeader w:val="false"/>
        </w:trPr>
        <w:tc>
          <w:tcPr>
            <w:tcW w:type="dxa" w:w="1400"/>
            <w:tcMar>
              <w:top w:type="dxa" w:w="80"/>
              <w:left w:type="dxa" w:w="110"/>
              <w:bottom w:type="dxa" w:w="80"/>
              <w:right w:type="dxa" w:w="110"/>
            </w:tcMar>
          </w:tcPr>
          <w:p>
            <w:r>
              <w:rPr>
                <w:b w:val="false"/>
                <w:bCs w:val="false"/>
                <w:sz w:val="20"/>
                <w:szCs w:val="20"/>
              </w:rPr>
              <w:t xml:space="preserve">Next</w:t>
            </w:r>
          </w:p>
        </w:tc>
        <w:tc>
          <w:tcPr>
            <w:tcW w:type="dxa" w:w="3600"/>
            <w:tcMar>
              <w:top w:type="dxa" w:w="80"/>
              <w:left w:type="dxa" w:w="110"/>
              <w:bottom w:type="dxa" w:w="80"/>
              <w:right w:type="dxa" w:w="110"/>
            </w:tcMar>
          </w:tcPr>
          <w:p>
            <w:r>
              <w:rPr>
                <w:b w:val="false"/>
                <w:bCs w:val="false"/>
                <w:sz w:val="20"/>
                <w:szCs w:val="20"/>
              </w:rPr>
              <w:t xml:space="preserve">C4 access assessment, then send D1 and D2 to Foot Anstey together</w:t>
            </w:r>
          </w:p>
        </w:tc>
        <w:tc>
          <w:tcPr>
            <w:tcW w:type="dxa" w:w="4360"/>
            <w:tcMar>
              <w:top w:type="dxa" w:w="80"/>
              <w:left w:type="dxa" w:w="110"/>
              <w:bottom w:type="dxa" w:w="80"/>
              <w:right w:type="dxa" w:w="110"/>
            </w:tcMar>
          </w:tcPr>
          <w:p>
            <w:r>
              <w:rPr>
                <w:b w:val="false"/>
                <w:bCs w:val="false"/>
                <w:sz w:val="20"/>
                <w:szCs w:val="20"/>
              </w:rPr>
              <w:t xml:space="preserve">The access assessment is the evidence that makes D1 a short question rather than an open-ended one, which is what makes it cheaper.</w:t>
            </w:r>
          </w:p>
        </w:tc>
      </w:tr>
      <w:tr>
        <w:trPr>
          <w:tblHeader w:val="false"/>
        </w:trPr>
        <w:tc>
          <w:tcPr>
            <w:tcW w:type="dxa" w:w="1400"/>
            <w:tcMar>
              <w:top w:type="dxa" w:w="80"/>
              <w:left w:type="dxa" w:w="110"/>
              <w:bottom w:type="dxa" w:w="80"/>
              <w:right w:type="dxa" w:w="110"/>
            </w:tcMar>
          </w:tcPr>
          <w:p>
            <w:r>
              <w:rPr>
                <w:b w:val="false"/>
                <w:bCs w:val="false"/>
                <w:sz w:val="20"/>
                <w:szCs w:val="20"/>
              </w:rPr>
              <w:t xml:space="preserve">Next</w:t>
            </w:r>
          </w:p>
        </w:tc>
        <w:tc>
          <w:tcPr>
            <w:tcW w:type="dxa" w:w="3600"/>
            <w:tcMar>
              <w:top w:type="dxa" w:w="80"/>
              <w:left w:type="dxa" w:w="110"/>
              <w:bottom w:type="dxa" w:w="80"/>
              <w:right w:type="dxa" w:w="110"/>
            </w:tcMar>
          </w:tcPr>
          <w:p>
            <w:r>
              <w:rPr>
                <w:b w:val="false"/>
                <w:bCs w:val="false"/>
                <w:sz w:val="20"/>
                <w:szCs w:val="20"/>
              </w:rPr>
              <w:t xml:space="preserve">C6 retention code, C10 Sentry gate, C12 website pages</w:t>
            </w:r>
          </w:p>
        </w:tc>
        <w:tc>
          <w:tcPr>
            <w:tcW w:type="dxa" w:w="4360"/>
            <w:tcMar>
              <w:top w:type="dxa" w:w="80"/>
              <w:left w:type="dxa" w:w="110"/>
              <w:bottom w:type="dxa" w:w="80"/>
              <w:right w:type="dxa" w:w="110"/>
            </w:tcMar>
          </w:tcPr>
          <w:p>
            <w:r>
              <w:rPr>
                <w:b w:val="false"/>
                <w:bCs w:val="false"/>
                <w:sz w:val="20"/>
                <w:szCs w:val="20"/>
              </w:rPr>
              <w:t xml:space="preserve">Build work. All three close a gap between what a document says and what the software does.</w:t>
            </w:r>
          </w:p>
        </w:tc>
      </w:tr>
      <w:tr>
        <w:trPr>
          <w:tblHeader w:val="false"/>
        </w:trPr>
        <w:tc>
          <w:tcPr>
            <w:tcW w:type="dxa" w:w="1400"/>
            <w:tcMar>
              <w:top w:type="dxa" w:w="80"/>
              <w:left w:type="dxa" w:w="110"/>
              <w:bottom w:type="dxa" w:w="80"/>
              <w:right w:type="dxa" w:w="110"/>
            </w:tcMar>
          </w:tcPr>
          <w:p>
            <w:r>
              <w:rPr>
                <w:b w:val="false"/>
                <w:bCs w:val="false"/>
                <w:sz w:val="20"/>
                <w:szCs w:val="20"/>
              </w:rPr>
              <w:t xml:space="preserve">On HMRC letter</w:t>
            </w:r>
          </w:p>
        </w:tc>
        <w:tc>
          <w:tcPr>
            <w:tcW w:type="dxa" w:w="3600"/>
            <w:tcMar>
              <w:top w:type="dxa" w:w="80"/>
              <w:left w:type="dxa" w:w="110"/>
              <w:bottom w:type="dxa" w:w="80"/>
              <w:right w:type="dxa" w:w="110"/>
            </w:tcMar>
          </w:tcPr>
          <w:p>
            <w:r>
              <w:rPr>
                <w:b w:val="false"/>
                <w:bCs w:val="false"/>
                <w:sz w:val="20"/>
                <w:szCs w:val="20"/>
              </w:rPr>
              <w:t xml:space="preserve">B2 bank, B3 ICO, B4 wording sweep</w:t>
            </w:r>
          </w:p>
        </w:tc>
        <w:tc>
          <w:tcPr>
            <w:tcW w:type="dxa" w:w="4360"/>
            <w:tcMar>
              <w:top w:type="dxa" w:w="80"/>
              <w:left w:type="dxa" w:w="110"/>
              <w:bottom w:type="dxa" w:w="80"/>
              <w:right w:type="dxa" w:w="110"/>
            </w:tcMar>
          </w:tcPr>
          <w:p>
            <w:r>
              <w:rPr>
                <w:b w:val="false"/>
                <w:bCs w:val="false"/>
                <w:sz w:val="20"/>
                <w:szCs w:val="20"/>
              </w:rPr>
              <w:t xml:space="preserve">Unblocks in a chain.</w:t>
            </w:r>
          </w:p>
        </w:tc>
      </w:tr>
      <w:tr>
        <w:trPr>
          <w:tblHeader w:val="false"/>
        </w:trPr>
        <w:tc>
          <w:tcPr>
            <w:tcW w:type="dxa" w:w="1400"/>
            <w:tcMar>
              <w:top w:type="dxa" w:w="80"/>
              <w:left w:type="dxa" w:w="110"/>
              <w:bottom w:type="dxa" w:w="80"/>
              <w:right w:type="dxa" w:w="110"/>
            </w:tcMar>
          </w:tcPr>
          <w:p>
            <w:r>
              <w:rPr>
                <w:b w:val="false"/>
                <w:bCs w:val="false"/>
                <w:sz w:val="20"/>
                <w:szCs w:val="20"/>
              </w:rPr>
              <w:t xml:space="preserve">Before beta opens</w:t>
            </w:r>
          </w:p>
        </w:tc>
        <w:tc>
          <w:tcPr>
            <w:tcW w:type="dxa" w:w="3600"/>
            <w:tcMar>
              <w:top w:type="dxa" w:w="80"/>
              <w:left w:type="dxa" w:w="110"/>
              <w:bottom w:type="dxa" w:w="80"/>
              <w:right w:type="dxa" w:w="110"/>
            </w:tcMar>
          </w:tcPr>
          <w:p>
            <w:r>
              <w:rPr>
                <w:b w:val="false"/>
                <w:bCs w:val="false"/>
                <w:sz w:val="20"/>
                <w:szCs w:val="20"/>
              </w:rPr>
              <w:t xml:space="preserve">Step 7 of the DPIA signed; processor DPAs executed; reviewers filled or the decision to proceed without them recorded</w:t>
            </w:r>
          </w:p>
        </w:tc>
        <w:tc>
          <w:tcPr>
            <w:tcW w:type="dxa" w:w="4360"/>
            <w:tcMar>
              <w:top w:type="dxa" w:w="80"/>
              <w:left w:type="dxa" w:w="110"/>
              <w:bottom w:type="dxa" w:w="80"/>
              <w:right w:type="dxa" w:w="110"/>
            </w:tcMar>
          </w:tcPr>
          <w:p>
            <w:r>
              <w:rPr>
                <w:b w:val="false"/>
                <w:bCs w:val="false"/>
                <w:sz w:val="20"/>
                <w:szCs w:val="20"/>
              </w:rPr>
              <w:t xml:space="preserve">These are the DPIA's own preconditions.</w:t>
            </w:r>
          </w:p>
        </w:tc>
      </w:tr>
      <w:tr>
        <w:trPr>
          <w:tblHeader w:val="false"/>
        </w:trPr>
        <w:tc>
          <w:tcPr>
            <w:tcW w:type="dxa" w:w="1400"/>
            <w:tcMar>
              <w:top w:type="dxa" w:w="80"/>
              <w:left w:type="dxa" w:w="110"/>
              <w:bottom w:type="dxa" w:w="80"/>
              <w:right w:type="dxa" w:w="110"/>
            </w:tcMar>
          </w:tcPr>
          <w:p>
            <w:r>
              <w:rPr>
                <w:b w:val="false"/>
                <w:bCs w:val="false"/>
                <w:sz w:val="20"/>
                <w:szCs w:val="20"/>
              </w:rPr>
              <w:t xml:space="preserve">Beta week two</w:t>
            </w:r>
          </w:p>
        </w:tc>
        <w:tc>
          <w:tcPr>
            <w:tcW w:type="dxa" w:w="3600"/>
            <w:tcMar>
              <w:top w:type="dxa" w:w="80"/>
              <w:left w:type="dxa" w:w="110"/>
              <w:bottom w:type="dxa" w:w="80"/>
              <w:right w:type="dxa" w:w="110"/>
            </w:tcMar>
          </w:tcPr>
          <w:p>
            <w:r>
              <w:rPr>
                <w:b w:val="false"/>
                <w:bCs w:val="false"/>
                <w:sz w:val="20"/>
                <w:szCs w:val="20"/>
              </w:rPr>
              <w:t xml:space="preserve">User consultation, written back into DPIA Step 3</w:t>
            </w:r>
          </w:p>
        </w:tc>
        <w:tc>
          <w:tcPr>
            <w:tcW w:type="dxa" w:w="4360"/>
            <w:tcMar>
              <w:top w:type="dxa" w:w="80"/>
              <w:left w:type="dxa" w:w="110"/>
              <w:bottom w:type="dxa" w:w="80"/>
              <w:right w:type="dxa" w:w="110"/>
            </w:tcMar>
          </w:tcPr>
          <w:p>
            <w:r>
              <w:rPr>
                <w:b w:val="false"/>
                <w:bCs w:val="false"/>
                <w:sz w:val="20"/>
                <w:szCs w:val="20"/>
              </w:rPr>
              <w:t xml:space="preserve">The only opportunity to do Article 35(9) properly, and it closes in three weeks.</w:t>
            </w:r>
          </w:p>
        </w:tc>
      </w:tr>
    </w:tbl>
    <w:p>
      <w:pPr>
        <w:pStyle w:val="Heading1"/>
        <w:spacing w:after="160" w:before="360"/>
      </w:pPr>
      <w:r>
        <w:rPr>
          <w:b/>
          <w:bCs/>
          <w:color w:val="1F4E5F"/>
          <w:sz w:val="32"/>
          <w:szCs w:val="32"/>
        </w:rPr>
        <w:t xml:space="preserve">Where I would push back</w:t>
      </w:r>
    </w:p>
    <w:p>
      <w:pPr>
        <w:pStyle w:val="Heading3"/>
        <w:spacing w:after="100" w:before="220"/>
      </w:pPr>
      <w:r>
        <w:rPr>
          <w:b/>
          <w:bCs/>
          <w:sz w:val="23"/>
          <w:szCs w:val="23"/>
        </w:rPr>
        <w:t xml:space="preserve">Volume is not the goal</w:t>
      </w:r>
    </w:p>
    <w:p>
      <w:pPr>
        <w:spacing w:after="140"/>
      </w:pPr>
      <w:r>
        <w:rPr>
          <w:sz w:val="22"/>
          <w:szCs w:val="22"/>
        </w:rPr>
        <w:t xml:space="preserve">"Get every policy we can possibly get together" has a failure mode. A regulator or a solicitor reads the document, then looks at the product, and judges the gap between them. Ten documents with three gaps each is a worse position than four documents with none, because the gaps are what get found and each one costs credibility on all the others. Today's privacy policy is a live example — it was one sentence away from asserting an age check that is switched off in the code.</w:t>
      </w:r>
    </w:p>
    <w:p>
      <w:pPr>
        <w:spacing w:after="140"/>
      </w:pPr>
      <w:r>
        <w:rPr>
          <w:sz w:val="22"/>
          <w:szCs w:val="22"/>
        </w:rPr>
        <w:t xml:space="preserve">The better rule is the one already used on the build side: every claim traceable to a code path or a gate, and nothing ships that cannot be evidenced.</w:t>
      </w:r>
    </w:p>
    <w:p>
      <w:pPr>
        <w:pStyle w:val="Heading3"/>
        <w:spacing w:after="100" w:before="220"/>
      </w:pPr>
      <w:r>
        <w:rPr>
          <w:b/>
          <w:bCs/>
          <w:sz w:val="23"/>
          <w:szCs w:val="23"/>
        </w:rPr>
        <w:t xml:space="preserve">Drafting more does not always cost less</w:t>
      </w:r>
    </w:p>
    <w:p>
      <w:pPr>
        <w:spacing w:after="140"/>
      </w:pPr>
      <w:r>
        <w:rPr>
          <w:sz w:val="22"/>
          <w:szCs w:val="22"/>
        </w:rPr>
        <w:t xml:space="preserve">Bethany said this directly and it is worth taking seriously: updating existing drafting can be more time-consuming, and therefore more expensive, than working from their own precedent. So the split matters more than the volume.</w:t>
      </w:r>
    </w:p>
    <w:p>
      <w:pPr>
        <w:spacing w:after="140"/>
      </w:pPr>
      <w:r>
        <w:rPr>
          <w:sz w:val="22"/>
          <w:szCs w:val="22"/>
        </w:rPr>
        <w:t xml:space="preserve">Draft ourselves where the content is factual and product-specific and no precedent helps: the ROPA, the DPIA, the retention schedule, the access assessment, the breach and complaints procedures, the LIAs. A solicitor cannot write these without interviewing us, so we would be paying them to extract what we already know.</w:t>
      </w:r>
    </w:p>
    <w:p>
      <w:pPr>
        <w:spacing w:after="140"/>
      </w:pPr>
      <w:r>
        <w:rPr>
          <w:sz w:val="22"/>
          <w:szCs w:val="22"/>
        </w:rPr>
        <w:t xml:space="preserve">Do not draft where the content is legal boilerplate they have on file: the children's privacy notice, website terms. Handing them our attempt at those risks paying for the correction of our mistakes on top of the drafting.</w:t>
      </w:r>
    </w:p>
    <w:p>
      <w:pPr>
        <w:pStyle w:val="Heading3"/>
        <w:spacing w:after="100" w:before="220"/>
      </w:pPr>
      <w:r>
        <w:rPr>
          <w:b/>
          <w:bCs/>
          <w:sz w:val="23"/>
          <w:szCs w:val="23"/>
        </w:rPr>
        <w:t xml:space="preserve">The 18+ reasoning needs to be firmer than it is</w:t>
      </w:r>
    </w:p>
    <w:p>
      <w:pPr>
        <w:spacing w:after="140"/>
      </w:pPr>
      <w:r>
        <w:rPr>
          <w:sz w:val="22"/>
          <w:szCs w:val="22"/>
        </w:rPr>
        <w:t xml:space="preserve">The 15 August note says launching 18+ "removes UK Children's Code obligations." That is the conclusion, not the reasoning, and the reasoning is the part that would have to hold up. The Code applies to services likely to be accessed by children whether or not they are aimed at them, and the ICO's position is that self-declaration is unlikely to be effective age assurance (</w:t>
      </w:r>
      <w:hyperlink w:history="1" r:id="rIdpg_akwzbpqe2p8q2ykf7m">
        <w:r>
          <w:rPr>
            <w:rStyle w:val="Hyperlink"/>
            <w:sz w:val="22"/>
            <w:szCs w:val="22"/>
          </w:rPr>
          <w:t xml:space="preserve">ICO, age assurance for the Children's code</w:t>
        </w:r>
      </w:hyperlink>
      <w:r>
        <w:rPr>
          <w:sz w:val="22"/>
          <w:szCs w:val="22"/>
        </w:rPr>
        <w:t xml:space="preserve">). What removes the obligation is a documented, evidenced, periodically reviewed assessment that children are not likely to access the service.</w:t>
      </w:r>
    </w:p>
    <w:p>
      <w:pPr>
        <w:spacing w:after="140"/>
      </w:pPr>
      <w:r>
        <w:rPr>
          <w:sz w:val="22"/>
          <w:szCs w:val="22"/>
        </w:rPr>
        <w:t xml:space="preserve">The characterisation of the risk as "someone finds it and pretends to be of a certain age" is close to right but points the wrong way. That is precisely the scenario the Code is written for. It is not an edge case that sits outside the rules; it is the case the rules exist to cover. The good news is that the access assessment is free to produce and we have unusually strong material for it: no child-appealing content, referral acquisition through adult clinical routes, adult-oriented copy throughout, and pricing. That is a real argument. It just has to be written down and dated rather than assumed.</w:t>
      </w:r>
    </w:p>
    <w:p>
      <w:pPr>
        <w:pStyle w:val="Heading3"/>
        <w:spacing w:after="100" w:before="220"/>
      </w:pPr>
      <w:r>
        <w:rPr>
          <w:b/>
          <w:bCs/>
          <w:sz w:val="23"/>
          <w:szCs w:val="23"/>
        </w:rPr>
        <w:t xml:space="preserve">One thing that is not on anyone's list</w:t>
      </w:r>
    </w:p>
    <w:p>
      <w:pPr>
        <w:spacing w:after="140"/>
      </w:pPr>
      <w:r>
        <w:rPr>
          <w:sz w:val="22"/>
          <w:szCs w:val="22"/>
        </w:rPr>
        <w:t xml:space="preserve">Twelve of the fifteen risks in the DPIA are mitigated by things Graeme does personally, and R12 says plainly that there is no cover if he cannot. That is not a compliance problem, it is a business continuity one, and it will be the first thing a cautious reviewer asks about a one-person business holding health data. It costs nothing to answer and currently has no answer.</w:t>
      </w:r>
    </w:p>
    <w:p>
      <w:pPr>
        <w:pBdr>
          <w:bottom w:val="single" w:color="8C8C8C" w:sz="6" w:space="1"/>
        </w:pBdr>
        <w:spacing w:after="160" w:before="160"/>
      </w:pPr>
      <w:r>
        <w:rPr>
          <w:sz w:val="2"/>
          <w:szCs w:val="2"/>
        </w:rPr>
        <w:t xml:space="preserve"/>
      </w:r>
    </w:p>
    <w:p>
      <w:pPr>
        <w:spacing w:after="140"/>
      </w:pPr>
      <w:r>
        <w:rPr>
          <w:i/>
          <w:iCs/>
          <w:sz w:val="22"/>
          <w:szCs w:val="22"/>
        </w:rPr>
        <w:t xml:space="preserve">Build New Habits · Alongside: Move · Data Protection Compliance Register · 28 Aug 2026 v1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B4F8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_vf8vtc43qwjssulzku_" Type="http://schemas.openxmlformats.org/officeDocument/2006/relationships/hyperlink" Target="https://ico.org.uk/for-organisations/data-protection-fee/" TargetMode="External"/><Relationship Id="rIdqkdqkpjxejnbtuo1rndrm" Type="http://schemas.openxmlformats.org/officeDocument/2006/relationships/hyperlink" Target="https://ico.org.uk/for-organisations/data-protection-fee/register/" TargetMode="External"/><Relationship Id="rIdpg_akwzbpqe2p8q2ykf7m" Type="http://schemas.openxmlformats.org/officeDocument/2006/relationships/hyperlink" Target="https://ico.org.uk/about-the-ico/what-we-do/information-commissioners-opinions/age-assurance-for-the-children-s-cod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2026-08-28T07:05:53.452Z</dcterms:created>
  <dcterms:modified xsi:type="dcterms:W3CDTF">2026-08-28T07:05:53.453Z</dcterms:modified>
</cp:coreProperties>
</file>

<file path=docProps/custom.xml><?xml version="1.0" encoding="utf-8"?>
<Properties xmlns="http://schemas.openxmlformats.org/officeDocument/2006/custom-properties" xmlns:vt="http://schemas.openxmlformats.org/officeDocument/2006/docPropsVTypes"/>
</file>