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0"/>
          <w:szCs w:val="20"/>
        </w:rPr>
        <w:t xml:space="preserve">BUILD NEW HABITS</w:t>
      </w:r>
    </w:p>
    <w:p>
      <w:pPr>
        <w:spacing w:after="40"/>
      </w:pPr>
      <w:r>
        <w:rPr>
          <w:b/>
          <w:bCs/>
          <w:color w:val="1F4E5F"/>
          <w:sz w:val="36"/>
          <w:szCs w:val="36"/>
        </w:rPr>
        <w:t xml:space="preserve">Data Protection Impact Assessment</w:t>
      </w:r>
    </w:p>
    <w:p>
      <w:pPr>
        <w:spacing w:after="40"/>
      </w:pPr>
      <w:r>
        <w:rPr>
          <w:b/>
          <w:bCs/>
          <w:color w:val="1F4E5F"/>
          <w:sz w:val="26"/>
          <w:szCs w:val="26"/>
        </w:rPr>
        <w:t xml:space="preserve">Alongside: Move</w:t>
      </w:r>
    </w:p>
    <w:p>
      <w:pPr>
        <w:spacing w:after="200"/>
      </w:pPr>
      <w:r>
        <w:rPr>
          <w:b/>
          <w:bCs/>
          <w:sz w:val="22"/>
          <w:szCs w:val="22"/>
        </w:rPr>
        <w:t xml:space="preserve">28 Aug 2026 v1 — DRAFT, NOT YET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7" w:val="clear"/>
            <w:tcMar>
              <w:top w:type="dxa" w:w="120"/>
              <w:left w:type="dxa" w:w="160"/>
              <w:bottom w:type="dxa" w:w="120"/>
              <w:right w:type="dxa" w:w="160"/>
            </w:tcMar>
          </w:tcPr>
          <w:p>
            <w:pPr>
              <w:spacing w:after="60"/>
            </w:pPr>
            <w:r>
              <w:rPr>
                <w:b/>
                <w:bCs/>
                <w:color w:val="1F4E5F"/>
                <w:sz w:val="21"/>
                <w:szCs w:val="21"/>
              </w:rPr>
              <w:t xml:space="preserve">Status</w:t>
            </w:r>
          </w:p>
          <w:p>
            <w:r>
              <w:rPr>
                <w:sz w:val="21"/>
                <w:szCs w:val="21"/>
              </w:rPr>
              <w:t xml:space="preserve">This is a completed draft, not a completed DPIA. A DPIA is a process, and two parts of it can only be done by the controller: the residual-risk decision at Step 7, and the sign-off. Both are left blank deliberately. Everything else is populated from the live build as at commit alongside-v406 and the master schedule at 26 Aug 2026 v230.</w:t>
            </w:r>
          </w:p>
        </w:tc>
      </w:tr>
    </w:tbl>
    <w:p>
      <w:pPr>
        <w:spacing w:after="140"/>
      </w:pPr>
      <w:r>
        <w:rPr>
          <w:sz w:val="22"/>
          <w:szCs w:val="22"/>
        </w:rPr>
        <w:t xml:space="preserve"/>
      </w:r>
    </w:p>
    <w:p>
      <w:pPr>
        <w:spacing w:after="140"/>
      </w:pPr>
      <w:r>
        <w:rPr>
          <w:sz w:val="22"/>
          <w:szCs w:val="22"/>
        </w:rPr>
        <w:t xml:space="preserve">Structure follows the ICO's seven steps (</w:t>
      </w:r>
      <w:hyperlink w:history="1" r:id="rIdyhwnxztofda4h96xelkum">
        <w:r>
          <w:rPr>
            <w:rStyle w:val="Hyperlink"/>
            <w:sz w:val="22"/>
            <w:szCs w:val="22"/>
          </w:rPr>
          <w:t xml:space="preserve">ICO, data protection impact assessments</w:t>
        </w:r>
      </w:hyperlink>
      <w:r>
        <w:rPr>
          <w:sz w:val="22"/>
          <w:szCs w:val="22"/>
        </w:rPr>
        <w:t xml:space="preserve">; </w:t>
      </w:r>
      <w:hyperlink w:history="1" r:id="rIdycsyak3gca4jvgss1mnea">
        <w:r>
          <w:rPr>
            <w:rStyle w:val="Hyperlink"/>
            <w:sz w:val="22"/>
            <w:szCs w:val="22"/>
          </w:rPr>
          <w:t xml:space="preserve">how do we do a DPIA?</w:t>
        </w:r>
      </w:hyperlink>
      <w:r>
        <w:rPr>
          <w:sz w:val="22"/>
          <w:szCs w:val="22"/>
        </w:rPr>
        <w:t xml:space="preserve">). The mandatory content is set by Article 35(7) UK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4EAEE" w:val="clear"/>
            <w:tcMar>
              <w:top w:type="dxa" w:w="80"/>
              <w:left w:type="dxa" w:w="110"/>
              <w:bottom w:type="dxa" w:w="80"/>
              <w:right w:type="dxa" w:w="110"/>
            </w:tcMar>
          </w:tcPr>
          <w:p>
            <w:r>
              <w:rPr>
                <w:b/>
                <w:bCs/>
                <w:sz w:val="20"/>
                <w:szCs w:val="20"/>
              </w:rPr>
              <w:t xml:space="preserve">Field</w:t>
            </w:r>
          </w:p>
        </w:tc>
        <w:tc>
          <w:tcPr>
            <w:tcW w:type="dxa" w:w="6760"/>
            <w:shd w:fill="E4EAEE" w:val="clear"/>
            <w:tcMar>
              <w:top w:type="dxa" w:w="80"/>
              <w:left w:type="dxa" w:w="110"/>
              <w:bottom w:type="dxa" w:w="80"/>
              <w:right w:type="dxa" w:w="110"/>
            </w:tcMar>
          </w:tcPr>
          <w:p>
            <w:r>
              <w:rPr>
                <w:b/>
                <w:bCs/>
                <w:sz w:val="20"/>
                <w:szCs w:val="20"/>
              </w:rPr>
              <w:t xml:space="preserve">Detail</w:t>
            </w:r>
          </w:p>
        </w:tc>
      </w:tr>
      <w:tr>
        <w:trPr>
          <w:tblHeader w:val="false"/>
        </w:trPr>
        <w:tc>
          <w:tcPr>
            <w:tcW w:type="dxa" w:w="2600"/>
            <w:tcMar>
              <w:top w:type="dxa" w:w="80"/>
              <w:left w:type="dxa" w:w="110"/>
              <w:bottom w:type="dxa" w:w="80"/>
              <w:right w:type="dxa" w:w="110"/>
            </w:tcMar>
          </w:tcPr>
          <w:p>
            <w:r>
              <w:rPr>
                <w:b w:val="false"/>
                <w:bCs w:val="false"/>
                <w:sz w:val="20"/>
                <w:szCs w:val="20"/>
              </w:rPr>
              <w:t xml:space="preserve">Controller</w:t>
            </w:r>
          </w:p>
        </w:tc>
        <w:tc>
          <w:tcPr>
            <w:tcW w:type="dxa" w:w="6760"/>
            <w:tcMar>
              <w:top w:type="dxa" w:w="80"/>
              <w:left w:type="dxa" w:w="110"/>
              <w:bottom w:type="dxa" w:w="80"/>
              <w:right w:type="dxa" w:w="110"/>
            </w:tcMar>
          </w:tcPr>
          <w:p>
            <w:r>
              <w:rPr>
                <w:b w:val="false"/>
                <w:bCs w:val="false"/>
                <w:sz w:val="20"/>
                <w:szCs w:val="20"/>
              </w:rPr>
              <w:t xml:space="preserve">Graeme Wright, trading as Build New Habits</w:t>
            </w:r>
          </w:p>
        </w:tc>
      </w:tr>
      <w:tr>
        <w:trPr>
          <w:tblHeader w:val="false"/>
        </w:trPr>
        <w:tc>
          <w:tcPr>
            <w:tcW w:type="dxa" w:w="2600"/>
            <w:tcMar>
              <w:top w:type="dxa" w:w="80"/>
              <w:left w:type="dxa" w:w="110"/>
              <w:bottom w:type="dxa" w:w="80"/>
              <w:right w:type="dxa" w:w="110"/>
            </w:tcMar>
          </w:tcPr>
          <w:p>
            <w:r>
              <w:rPr>
                <w:b w:val="false"/>
                <w:bCs w:val="false"/>
                <w:sz w:val="20"/>
                <w:szCs w:val="20"/>
              </w:rPr>
              <w:t xml:space="preserve">Processing assessed</w:t>
            </w:r>
          </w:p>
        </w:tc>
        <w:tc>
          <w:tcPr>
            <w:tcW w:type="dxa" w:w="6760"/>
            <w:tcMar>
              <w:top w:type="dxa" w:w="80"/>
              <w:left w:type="dxa" w:w="110"/>
              <w:bottom w:type="dxa" w:w="80"/>
              <w:right w:type="dxa" w:w="110"/>
            </w:tcMar>
          </w:tcPr>
          <w:p>
            <w:r>
              <w:rPr>
                <w:b w:val="false"/>
                <w:bCs w:val="false"/>
                <w:sz w:val="20"/>
                <w:szCs w:val="20"/>
              </w:rPr>
              <w:t xml:space="preserve">Alongside: Move — movement and wellbeing coaching app</w:t>
            </w:r>
          </w:p>
        </w:tc>
      </w:tr>
      <w:tr>
        <w:trPr>
          <w:tblHeader w:val="false"/>
        </w:trPr>
        <w:tc>
          <w:tcPr>
            <w:tcW w:type="dxa" w:w="2600"/>
            <w:tcMar>
              <w:top w:type="dxa" w:w="80"/>
              <w:left w:type="dxa" w:w="110"/>
              <w:bottom w:type="dxa" w:w="80"/>
              <w:right w:type="dxa" w:w="110"/>
            </w:tcMar>
          </w:tcPr>
          <w:p>
            <w:r>
              <w:rPr>
                <w:b w:val="false"/>
                <w:bCs w:val="false"/>
                <w:sz w:val="20"/>
                <w:szCs w:val="20"/>
              </w:rPr>
              <w:t xml:space="preserve">Assessment date</w:t>
            </w:r>
          </w:p>
        </w:tc>
        <w:tc>
          <w:tcPr>
            <w:tcW w:type="dxa" w:w="6760"/>
            <w:tcMar>
              <w:top w:type="dxa" w:w="80"/>
              <w:left w:type="dxa" w:w="110"/>
              <w:bottom w:type="dxa" w:w="80"/>
              <w:right w:type="dxa" w:w="110"/>
            </w:tcMar>
          </w:tcPr>
          <w:p>
            <w:r>
              <w:rPr>
                <w:b w:val="false"/>
                <w:bCs w:val="false"/>
                <w:sz w:val="20"/>
                <w:szCs w:val="20"/>
              </w:rPr>
              <w:t xml:space="preserve">28 August 2026</w:t>
            </w:r>
          </w:p>
        </w:tc>
      </w:tr>
      <w:tr>
        <w:trPr>
          <w:tblHeader w:val="false"/>
        </w:trPr>
        <w:tc>
          <w:tcPr>
            <w:tcW w:type="dxa" w:w="2600"/>
            <w:tcMar>
              <w:top w:type="dxa" w:w="80"/>
              <w:left w:type="dxa" w:w="110"/>
              <w:bottom w:type="dxa" w:w="80"/>
              <w:right w:type="dxa" w:w="110"/>
            </w:tcMar>
          </w:tcPr>
          <w:p>
            <w:r>
              <w:rPr>
                <w:b w:val="false"/>
                <w:bCs w:val="false"/>
                <w:sz w:val="20"/>
                <w:szCs w:val="20"/>
              </w:rPr>
              <w:t xml:space="preserve">Build assessed</w:t>
            </w:r>
          </w:p>
        </w:tc>
        <w:tc>
          <w:tcPr>
            <w:tcW w:type="dxa" w:w="6760"/>
            <w:tcMar>
              <w:top w:type="dxa" w:w="80"/>
              <w:left w:type="dxa" w:w="110"/>
              <w:bottom w:type="dxa" w:w="80"/>
              <w:right w:type="dxa" w:w="110"/>
            </w:tcMar>
          </w:tcPr>
          <w:p>
            <w:r>
              <w:rPr>
                <w:b w:val="false"/>
                <w:bCs w:val="false"/>
                <w:sz w:val="20"/>
                <w:szCs w:val="20"/>
              </w:rPr>
              <w:t xml:space="preserve">alongside-v406, 89 gates green</w:t>
            </w:r>
          </w:p>
        </w:tc>
      </w:tr>
      <w:tr>
        <w:trPr>
          <w:tblHeader w:val="false"/>
        </w:trPr>
        <w:tc>
          <w:tcPr>
            <w:tcW w:type="dxa" w:w="2600"/>
            <w:tcMar>
              <w:top w:type="dxa" w:w="80"/>
              <w:left w:type="dxa" w:w="110"/>
              <w:bottom w:type="dxa" w:w="80"/>
              <w:right w:type="dxa" w:w="110"/>
            </w:tcMar>
          </w:tcPr>
          <w:p>
            <w:r>
              <w:rPr>
                <w:b w:val="false"/>
                <w:bCs w:val="false"/>
                <w:sz w:val="20"/>
                <w:szCs w:val="20"/>
              </w:rPr>
              <w:t xml:space="preserve">Stage</w:t>
            </w:r>
          </w:p>
        </w:tc>
        <w:tc>
          <w:tcPr>
            <w:tcW w:type="dxa" w:w="6760"/>
            <w:tcMar>
              <w:top w:type="dxa" w:w="80"/>
              <w:left w:type="dxa" w:w="110"/>
              <w:bottom w:type="dxa" w:w="80"/>
              <w:right w:type="dxa" w:w="110"/>
            </w:tcMar>
          </w:tcPr>
          <w:p>
            <w:r>
              <w:rPr>
                <w:b w:val="false"/>
                <w:bCs w:val="false"/>
                <w:sz w:val="20"/>
                <w:szCs w:val="20"/>
              </w:rPr>
              <w:t xml:space="preserve">Pre-beta. Beta targeted mid-September 2026; public launch January 2027</w:t>
            </w:r>
          </w:p>
        </w:tc>
      </w:tr>
      <w:tr>
        <w:trPr>
          <w:tblHeader w:val="false"/>
        </w:trPr>
        <w:tc>
          <w:tcPr>
            <w:tcW w:type="dxa" w:w="2600"/>
            <w:tcMar>
              <w:top w:type="dxa" w:w="80"/>
              <w:left w:type="dxa" w:w="110"/>
              <w:bottom w:type="dxa" w:w="80"/>
              <w:right w:type="dxa" w:w="110"/>
            </w:tcMar>
          </w:tcPr>
          <w:p>
            <w:r>
              <w:rPr>
                <w:b w:val="false"/>
                <w:bCs w:val="false"/>
                <w:sz w:val="20"/>
                <w:szCs w:val="20"/>
              </w:rPr>
              <w:t xml:space="preserve">DPO advice</w:t>
            </w:r>
          </w:p>
        </w:tc>
        <w:tc>
          <w:tcPr>
            <w:tcW w:type="dxa" w:w="6760"/>
            <w:tcMar>
              <w:top w:type="dxa" w:w="80"/>
              <w:left w:type="dxa" w:w="110"/>
              <w:bottom w:type="dxa" w:w="80"/>
              <w:right w:type="dxa" w:w="110"/>
            </w:tcMar>
          </w:tcPr>
          <w:p>
            <w:r>
              <w:rPr>
                <w:b w:val="false"/>
                <w:bCs w:val="false"/>
                <w:sz w:val="20"/>
                <w:szCs w:val="20"/>
              </w:rPr>
              <w:t xml:space="preserve">No DPO appointed and none required. Article 35(2) not engaged.</w:t>
            </w:r>
          </w:p>
        </w:tc>
      </w:tr>
      <w:tr>
        <w:trPr>
          <w:tblHeader w:val="false"/>
        </w:trPr>
        <w:tc>
          <w:tcPr>
            <w:tcW w:type="dxa" w:w="2600"/>
            <w:tcMar>
              <w:top w:type="dxa" w:w="80"/>
              <w:left w:type="dxa" w:w="110"/>
              <w:bottom w:type="dxa" w:w="80"/>
              <w:right w:type="dxa" w:w="110"/>
            </w:tcMar>
          </w:tcPr>
          <w:p>
            <w:r>
              <w:rPr>
                <w:b w:val="false"/>
                <w:bCs w:val="false"/>
                <w:sz w:val="20"/>
                <w:szCs w:val="20"/>
              </w:rPr>
              <w:t xml:space="preserve">Review trigger</w:t>
            </w:r>
          </w:p>
        </w:tc>
        <w:tc>
          <w:tcPr>
            <w:tcW w:type="dxa" w:w="6760"/>
            <w:tcMar>
              <w:top w:type="dxa" w:w="80"/>
              <w:left w:type="dxa" w:w="110"/>
              <w:bottom w:type="dxa" w:w="80"/>
              <w:right w:type="dxa" w:w="110"/>
            </w:tcMar>
          </w:tcPr>
          <w:p>
            <w:r>
              <w:rPr>
                <w:b w:val="false"/>
                <w:bCs w:val="false"/>
                <w:sz w:val="20"/>
                <w:szCs w:val="20"/>
              </w:rPr>
              <w:t xml:space="preserve">Before beta opens; before Supabase migration; before public launch; on any change to what is collected</w:t>
            </w:r>
          </w:p>
        </w:tc>
      </w:tr>
    </w:tbl>
    <w:p>
      <w:pPr>
        <w:pStyle w:val="Heading1"/>
        <w:spacing w:after="160" w:before="360"/>
      </w:pPr>
      <w:r>
        <w:rPr>
          <w:b/>
          <w:bCs/>
          <w:color w:val="1F4E5F"/>
          <w:sz w:val="32"/>
          <w:szCs w:val="32"/>
        </w:rPr>
        <w:t xml:space="preserve">Step 1 — Why a DPIA is needed</w:t>
      </w:r>
    </w:p>
    <w:p>
      <w:pPr>
        <w:spacing w:after="140"/>
      </w:pPr>
      <w:r>
        <w:rPr>
          <w:sz w:val="22"/>
          <w:szCs w:val="22"/>
        </w:rPr>
        <w:t xml:space="preserve">Article 35(3)(b) requires a DPIA for large-scale processing of special category data. At beta scale we are not confident "large scale" is met — the ICO treats scale as relative and we expect a two-figure number of users. That alone would not settle it, because the ICO's screening list is wider than Article 35(3), and four items on it apply to us (</w:t>
      </w:r>
      <w:hyperlink w:history="1" r:id="rIdjojem_jofo36hb9w9opyc">
        <w:r>
          <w:rPr>
            <w:rStyle w:val="Hyperlink"/>
            <w:sz w:val="22"/>
            <w:szCs w:val="22"/>
          </w:rPr>
          <w:t xml:space="preserve">ICO, when do we need to do a DPIA?</w:t>
        </w:r>
      </w:hyperlink>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shd w:fill="E4EAEE" w:val="clear"/>
            <w:tcMar>
              <w:top w:type="dxa" w:w="80"/>
              <w:left w:type="dxa" w:w="110"/>
              <w:bottom w:type="dxa" w:w="80"/>
              <w:right w:type="dxa" w:w="110"/>
            </w:tcMar>
          </w:tcPr>
          <w:p>
            <w:r>
              <w:rPr>
                <w:b/>
                <w:bCs/>
                <w:sz w:val="20"/>
                <w:szCs w:val="20"/>
              </w:rPr>
              <w:t xml:space="preserve">ICO screening criterion</w:t>
            </w:r>
          </w:p>
        </w:tc>
        <w:tc>
          <w:tcPr>
            <w:tcW w:type="dxa" w:w="1400"/>
            <w:shd w:fill="E4EAEE" w:val="clear"/>
            <w:tcMar>
              <w:top w:type="dxa" w:w="80"/>
              <w:left w:type="dxa" w:w="110"/>
              <w:bottom w:type="dxa" w:w="80"/>
              <w:right w:type="dxa" w:w="110"/>
            </w:tcMar>
          </w:tcPr>
          <w:p>
            <w:r>
              <w:rPr>
                <w:b/>
                <w:bCs/>
                <w:sz w:val="20"/>
                <w:szCs w:val="20"/>
              </w:rPr>
              <w:t xml:space="preserve">Applies</w:t>
            </w:r>
          </w:p>
        </w:tc>
        <w:tc>
          <w:tcPr>
            <w:tcW w:type="dxa" w:w="3760"/>
            <w:shd w:fill="E4EAEE" w:val="clear"/>
            <w:tcMar>
              <w:top w:type="dxa" w:w="80"/>
              <w:left w:type="dxa" w:w="110"/>
              <w:bottom w:type="dxa" w:w="80"/>
              <w:right w:type="dxa" w:w="110"/>
            </w:tcMar>
          </w:tcPr>
          <w:p>
            <w:r>
              <w:rPr>
                <w:b/>
                <w:bCs/>
                <w:sz w:val="20"/>
                <w:szCs w:val="20"/>
              </w:rPr>
              <w:t xml:space="preserve">How</w:t>
            </w:r>
          </w:p>
        </w:tc>
      </w:tr>
      <w:tr>
        <w:trPr>
          <w:tblHeader w:val="false"/>
        </w:trPr>
        <w:tc>
          <w:tcPr>
            <w:tcW w:type="dxa" w:w="4200"/>
            <w:tcMar>
              <w:top w:type="dxa" w:w="80"/>
              <w:left w:type="dxa" w:w="110"/>
              <w:bottom w:type="dxa" w:w="80"/>
              <w:right w:type="dxa" w:w="110"/>
            </w:tcMar>
          </w:tcPr>
          <w:p>
            <w:r>
              <w:rPr>
                <w:b w:val="false"/>
                <w:bCs w:val="false"/>
                <w:sz w:val="20"/>
                <w:szCs w:val="20"/>
              </w:rPr>
              <w:t xml:space="preserve">Innovative technology — the ICO gives fitness and lifestyle monitoring software as an example</w:t>
            </w:r>
          </w:p>
        </w:tc>
        <w:tc>
          <w:tcPr>
            <w:tcW w:type="dxa" w:w="1400"/>
            <w:tcMar>
              <w:top w:type="dxa" w:w="80"/>
              <w:left w:type="dxa" w:w="110"/>
              <w:bottom w:type="dxa" w:w="80"/>
              <w:right w:type="dxa" w:w="110"/>
            </w:tcMar>
          </w:tcPr>
          <w:p>
            <w:r>
              <w:rPr>
                <w:b w:val="false"/>
                <w:bCs w:val="false"/>
                <w:sz w:val="20"/>
                <w:szCs w:val="20"/>
              </w:rPr>
              <w:t xml:space="preserve">Yes</w:t>
            </w:r>
          </w:p>
        </w:tc>
        <w:tc>
          <w:tcPr>
            <w:tcW w:type="dxa" w:w="3760"/>
            <w:tcMar>
              <w:top w:type="dxa" w:w="80"/>
              <w:left w:type="dxa" w:w="110"/>
              <w:bottom w:type="dxa" w:w="80"/>
              <w:right w:type="dxa" w:w="110"/>
            </w:tcMar>
          </w:tcPr>
          <w:p>
            <w:r>
              <w:rPr>
                <w:b w:val="false"/>
                <w:bCs w:val="false"/>
                <w:sz w:val="20"/>
                <w:szCs w:val="20"/>
              </w:rPr>
              <w:t xml:space="preserve">The product is exactly that</w:t>
            </w:r>
          </w:p>
        </w:tc>
      </w:tr>
      <w:tr>
        <w:trPr>
          <w:tblHeader w:val="false"/>
        </w:trPr>
        <w:tc>
          <w:tcPr>
            <w:tcW w:type="dxa" w:w="4200"/>
            <w:tcMar>
              <w:top w:type="dxa" w:w="80"/>
              <w:left w:type="dxa" w:w="110"/>
              <w:bottom w:type="dxa" w:w="80"/>
              <w:right w:type="dxa" w:w="110"/>
            </w:tcMar>
          </w:tcPr>
          <w:p>
            <w:r>
              <w:rPr>
                <w:b w:val="false"/>
                <w:bCs w:val="false"/>
                <w:sz w:val="20"/>
                <w:szCs w:val="20"/>
              </w:rPr>
              <w:t xml:space="preserve">Using special category data to decide what a service offers someone</w:t>
            </w:r>
          </w:p>
        </w:tc>
        <w:tc>
          <w:tcPr>
            <w:tcW w:type="dxa" w:w="1400"/>
            <w:tcMar>
              <w:top w:type="dxa" w:w="80"/>
              <w:left w:type="dxa" w:w="110"/>
              <w:bottom w:type="dxa" w:w="80"/>
              <w:right w:type="dxa" w:w="110"/>
            </w:tcMar>
          </w:tcPr>
          <w:p>
            <w:r>
              <w:rPr>
                <w:b w:val="false"/>
                <w:bCs w:val="false"/>
                <w:sz w:val="20"/>
                <w:szCs w:val="20"/>
              </w:rPr>
              <w:t xml:space="preserve">Yes</w:t>
            </w:r>
          </w:p>
        </w:tc>
        <w:tc>
          <w:tcPr>
            <w:tcW w:type="dxa" w:w="3760"/>
            <w:tcMar>
              <w:top w:type="dxa" w:w="80"/>
              <w:left w:type="dxa" w:w="110"/>
              <w:bottom w:type="dxa" w:w="80"/>
              <w:right w:type="dxa" w:w="110"/>
            </w:tcMar>
          </w:tcPr>
          <w:p>
            <w:r>
              <w:rPr>
                <w:b w:val="false"/>
                <w:bCs w:val="false"/>
                <w:sz w:val="20"/>
                <w:szCs w:val="20"/>
              </w:rPr>
              <w:t xml:space="preserve">Pain, energy, mood and condition data determine which exercises are shown and which are withheld</w:t>
            </w:r>
          </w:p>
        </w:tc>
      </w:tr>
      <w:tr>
        <w:trPr>
          <w:tblHeader w:val="false"/>
        </w:trPr>
        <w:tc>
          <w:tcPr>
            <w:tcW w:type="dxa" w:w="4200"/>
            <w:tcMar>
              <w:top w:type="dxa" w:w="80"/>
              <w:left w:type="dxa" w:w="110"/>
              <w:bottom w:type="dxa" w:w="80"/>
              <w:right w:type="dxa" w:w="110"/>
            </w:tcMar>
          </w:tcPr>
          <w:p>
            <w:r>
              <w:rPr>
                <w:b w:val="false"/>
                <w:bCs w:val="false"/>
                <w:sz w:val="20"/>
                <w:szCs w:val="20"/>
              </w:rPr>
              <w:t xml:space="preserve">Processing data that might endanger physical health or safety if breached or wrong</w:t>
            </w:r>
          </w:p>
        </w:tc>
        <w:tc>
          <w:tcPr>
            <w:tcW w:type="dxa" w:w="1400"/>
            <w:tcMar>
              <w:top w:type="dxa" w:w="80"/>
              <w:left w:type="dxa" w:w="110"/>
              <w:bottom w:type="dxa" w:w="80"/>
              <w:right w:type="dxa" w:w="110"/>
            </w:tcMar>
          </w:tcPr>
          <w:p>
            <w:r>
              <w:rPr>
                <w:b w:val="false"/>
                <w:bCs w:val="false"/>
                <w:sz w:val="20"/>
                <w:szCs w:val="20"/>
              </w:rPr>
              <w:t xml:space="preserve">Yes</w:t>
            </w:r>
          </w:p>
        </w:tc>
        <w:tc>
          <w:tcPr>
            <w:tcW w:type="dxa" w:w="3760"/>
            <w:tcMar>
              <w:top w:type="dxa" w:w="80"/>
              <w:left w:type="dxa" w:w="110"/>
              <w:bottom w:type="dxa" w:w="80"/>
              <w:right w:type="dxa" w:w="110"/>
            </w:tcMar>
          </w:tcPr>
          <w:p>
            <w:r>
              <w:rPr>
                <w:b w:val="false"/>
                <w:bCs w:val="false"/>
                <w:sz w:val="20"/>
                <w:szCs w:val="20"/>
              </w:rPr>
              <w:t xml:space="preserve">A contraindication missed or corrupted could put unsafe movement in front of someone</w:t>
            </w:r>
          </w:p>
        </w:tc>
      </w:tr>
      <w:tr>
        <w:trPr>
          <w:tblHeader w:val="false"/>
        </w:trPr>
        <w:tc>
          <w:tcPr>
            <w:tcW w:type="dxa" w:w="4200"/>
            <w:tcMar>
              <w:top w:type="dxa" w:w="80"/>
              <w:left w:type="dxa" w:w="110"/>
              <w:bottom w:type="dxa" w:w="80"/>
              <w:right w:type="dxa" w:w="110"/>
            </w:tcMar>
          </w:tcPr>
          <w:p>
            <w:r>
              <w:rPr>
                <w:b w:val="false"/>
                <w:bCs w:val="false"/>
                <w:sz w:val="20"/>
                <w:szCs w:val="20"/>
              </w:rPr>
              <w:t xml:space="preserve">Profiling</w:t>
            </w:r>
          </w:p>
        </w:tc>
        <w:tc>
          <w:tcPr>
            <w:tcW w:type="dxa" w:w="1400"/>
            <w:tcMar>
              <w:top w:type="dxa" w:w="80"/>
              <w:left w:type="dxa" w:w="110"/>
              <w:bottom w:type="dxa" w:w="80"/>
              <w:right w:type="dxa" w:w="110"/>
            </w:tcMar>
          </w:tcPr>
          <w:p>
            <w:r>
              <w:rPr>
                <w:b w:val="false"/>
                <w:bCs w:val="false"/>
                <w:sz w:val="20"/>
                <w:szCs w:val="20"/>
              </w:rPr>
              <w:t xml:space="preserve">Partly</w:t>
            </w:r>
          </w:p>
        </w:tc>
        <w:tc>
          <w:tcPr>
            <w:tcW w:type="dxa" w:w="3760"/>
            <w:tcMar>
              <w:top w:type="dxa" w:w="80"/>
              <w:left w:type="dxa" w:w="110"/>
              <w:bottom w:type="dxa" w:w="80"/>
              <w:right w:type="dxa" w:w="110"/>
            </w:tcMar>
          </w:tcPr>
          <w:p>
            <w:r>
              <w:rPr>
                <w:b w:val="false"/>
                <w:bCs w:val="false"/>
                <w:sz w:val="20"/>
                <w:szCs w:val="20"/>
              </w:rPr>
              <w:t xml:space="preserve">We derive burnout and load patterns from check-in history. This creates health inferences the person did not directly give us</w:t>
            </w:r>
          </w:p>
        </w:tc>
      </w:tr>
      <w:tr>
        <w:trPr>
          <w:tblHeader w:val="false"/>
        </w:trPr>
        <w:tc>
          <w:tcPr>
            <w:tcW w:type="dxa" w:w="4200"/>
            <w:tcMar>
              <w:top w:type="dxa" w:w="80"/>
              <w:left w:type="dxa" w:w="110"/>
              <w:bottom w:type="dxa" w:w="80"/>
              <w:right w:type="dxa" w:w="110"/>
            </w:tcMar>
          </w:tcPr>
          <w:p>
            <w:r>
              <w:rPr>
                <w:b w:val="false"/>
                <w:bCs w:val="false"/>
                <w:sz w:val="20"/>
                <w:szCs w:val="20"/>
              </w:rPr>
              <w:t xml:space="preserve">Tracking location or behaviour</w:t>
            </w:r>
          </w:p>
        </w:tc>
        <w:tc>
          <w:tcPr>
            <w:tcW w:type="dxa" w:w="1400"/>
            <w:tcMar>
              <w:top w:type="dxa" w:w="80"/>
              <w:left w:type="dxa" w:w="110"/>
              <w:bottom w:type="dxa" w:w="80"/>
              <w:right w:type="dxa" w:w="110"/>
            </w:tcMar>
          </w:tcPr>
          <w:p>
            <w:r>
              <w:rPr>
                <w:b w:val="false"/>
                <w:bCs w:val="false"/>
                <w:sz w:val="20"/>
                <w:szCs w:val="20"/>
              </w:rPr>
              <w:t xml:space="preserve">No</w:t>
            </w:r>
          </w:p>
        </w:tc>
        <w:tc>
          <w:tcPr>
            <w:tcW w:type="dxa" w:w="3760"/>
            <w:tcMar>
              <w:top w:type="dxa" w:w="80"/>
              <w:left w:type="dxa" w:w="110"/>
              <w:bottom w:type="dxa" w:w="80"/>
              <w:right w:type="dxa" w:w="110"/>
            </w:tcMar>
          </w:tcPr>
          <w:p>
            <w:r>
              <w:rPr>
                <w:b w:val="false"/>
                <w:bCs w:val="false"/>
                <w:sz w:val="20"/>
                <w:szCs w:val="20"/>
              </w:rPr>
              <w:t xml:space="preserve">No location data, no cross-site tracking, no advertising identifiers</w:t>
            </w:r>
          </w:p>
        </w:tc>
      </w:tr>
      <w:tr>
        <w:trPr>
          <w:tblHeader w:val="false"/>
        </w:trPr>
        <w:tc>
          <w:tcPr>
            <w:tcW w:type="dxa" w:w="4200"/>
            <w:tcMar>
              <w:top w:type="dxa" w:w="80"/>
              <w:left w:type="dxa" w:w="110"/>
              <w:bottom w:type="dxa" w:w="80"/>
              <w:right w:type="dxa" w:w="110"/>
            </w:tcMar>
          </w:tcPr>
          <w:p>
            <w:r>
              <w:rPr>
                <w:b w:val="false"/>
                <w:bCs w:val="false"/>
                <w:sz w:val="20"/>
                <w:szCs w:val="20"/>
              </w:rPr>
              <w:t xml:space="preserve">Data matching from multiple sources</w:t>
            </w:r>
          </w:p>
        </w:tc>
        <w:tc>
          <w:tcPr>
            <w:tcW w:type="dxa" w:w="1400"/>
            <w:tcMar>
              <w:top w:type="dxa" w:w="80"/>
              <w:left w:type="dxa" w:w="110"/>
              <w:bottom w:type="dxa" w:w="80"/>
              <w:right w:type="dxa" w:w="110"/>
            </w:tcMar>
          </w:tcPr>
          <w:p>
            <w:r>
              <w:rPr>
                <w:b w:val="false"/>
                <w:bCs w:val="false"/>
                <w:sz w:val="20"/>
                <w:szCs w:val="20"/>
              </w:rPr>
              <w:t xml:space="preserve">No</w:t>
            </w:r>
          </w:p>
        </w:tc>
        <w:tc>
          <w:tcPr>
            <w:tcW w:type="dxa" w:w="3760"/>
            <w:tcMar>
              <w:top w:type="dxa" w:w="80"/>
              <w:left w:type="dxa" w:w="110"/>
              <w:bottom w:type="dxa" w:w="80"/>
              <w:right w:type="dxa" w:w="110"/>
            </w:tcMar>
          </w:tcPr>
          <w:p>
            <w:r>
              <w:rPr>
                <w:b w:val="false"/>
                <w:bCs w:val="false"/>
                <w:sz w:val="20"/>
                <w:szCs w:val="20"/>
              </w:rPr>
              <w:t xml:space="preserve">All data comes from the person</w:t>
            </w:r>
          </w:p>
        </w:tc>
      </w:tr>
      <w:tr>
        <w:trPr>
          <w:tblHeader w:val="false"/>
        </w:trPr>
        <w:tc>
          <w:tcPr>
            <w:tcW w:type="dxa" w:w="4200"/>
            <w:tcMar>
              <w:top w:type="dxa" w:w="80"/>
              <w:left w:type="dxa" w:w="110"/>
              <w:bottom w:type="dxa" w:w="80"/>
              <w:right w:type="dxa" w:w="110"/>
            </w:tcMar>
          </w:tcPr>
          <w:p>
            <w:r>
              <w:rPr>
                <w:b w:val="false"/>
                <w:bCs w:val="false"/>
                <w:sz w:val="20"/>
                <w:szCs w:val="20"/>
              </w:rPr>
              <w:t xml:space="preserve">Invisible processing</w:t>
            </w:r>
          </w:p>
        </w:tc>
        <w:tc>
          <w:tcPr>
            <w:tcW w:type="dxa" w:w="1400"/>
            <w:tcMar>
              <w:top w:type="dxa" w:w="80"/>
              <w:left w:type="dxa" w:w="110"/>
              <w:bottom w:type="dxa" w:w="80"/>
              <w:right w:type="dxa" w:w="110"/>
            </w:tcMar>
          </w:tcPr>
          <w:p>
            <w:r>
              <w:rPr>
                <w:b w:val="false"/>
                <w:bCs w:val="false"/>
                <w:sz w:val="20"/>
                <w:szCs w:val="20"/>
              </w:rPr>
              <w:t xml:space="preserve">No</w:t>
            </w:r>
          </w:p>
        </w:tc>
        <w:tc>
          <w:tcPr>
            <w:tcW w:type="dxa" w:w="3760"/>
            <w:tcMar>
              <w:top w:type="dxa" w:w="80"/>
              <w:left w:type="dxa" w:w="110"/>
              <w:bottom w:type="dxa" w:w="80"/>
              <w:right w:type="dxa" w:w="110"/>
            </w:tcMar>
          </w:tcPr>
          <w:p>
            <w:r>
              <w:rPr>
                <w:b w:val="false"/>
                <w:bCs w:val="false"/>
                <w:sz w:val="20"/>
                <w:szCs w:val="20"/>
              </w:rPr>
              <w:t xml:space="preserve">Nothing is collected from third parties</w:t>
            </w:r>
          </w:p>
        </w:tc>
      </w:tr>
    </w:tbl>
    <w:p>
      <w:pPr>
        <w:spacing w:after="60"/>
      </w:pPr>
      <w:r>
        <w:rPr>
          <w:sz w:val="22"/>
          <w:szCs w:val="22"/>
        </w:rPr>
        <w:t xml:space="preserve"/>
      </w:r>
    </w:p>
    <w:p>
      <w:pPr>
        <w:spacing w:after="140"/>
      </w:pPr>
      <w:r>
        <w:rPr>
          <w:sz w:val="22"/>
          <w:szCs w:val="22"/>
        </w:rPr>
        <w:t xml:space="preserve">Conclusion: a DPIA is required. Even if it were not strictly required at beta scale, it becomes required as the user base grows, and the ICO's advice where there is doubt is to carry one out. Doing it now, before beta, is also the only time it can do its actual job, which is to change the build.</w:t>
      </w:r>
    </w:p>
    <w:p>
      <w:pPr>
        <w:pStyle w:val="Heading1"/>
        <w:spacing w:after="160" w:before="360"/>
      </w:pPr>
      <w:r>
        <w:rPr>
          <w:b/>
          <w:bCs/>
          <w:color w:val="1F4E5F"/>
          <w:sz w:val="32"/>
          <w:szCs w:val="32"/>
        </w:rPr>
        <w:t xml:space="preserve">Step 2 — Describing the processing</w:t>
      </w:r>
    </w:p>
    <w:p>
      <w:pPr>
        <w:pStyle w:val="Heading2"/>
        <w:spacing w:after="120" w:before="280"/>
      </w:pPr>
      <w:r>
        <w:rPr>
          <w:b/>
          <w:bCs/>
          <w:color w:val="1F4E5F"/>
          <w:sz w:val="26"/>
          <w:szCs w:val="26"/>
        </w:rPr>
        <w:t xml:space="preserve">Nature</w:t>
      </w:r>
    </w:p>
    <w:p>
      <w:pPr>
        <w:spacing w:after="140"/>
      </w:pPr>
      <w:r>
        <w:rPr>
          <w:sz w:val="22"/>
          <w:szCs w:val="22"/>
        </w:rPr>
        <w:t xml:space="preserve">Data is entered by the person, on their own device, through a daily check-in and an onboarding conversation. It is currently held in browser local storage and does not reach our servers. A planned migration to Supabase (EU, Frankfurt) will introduce server-side storage with per-user row-level security. Error telemetry goes to Sentry (EU, Frankfurt) with health terms scrubbed before transmission. Aggregate analytics go to Plausible, which collects no personal data and sets no cookies. Payment, when the Plan launches, is handled entirely by Stripe. Marketing email is handled by Kit.</w:t>
      </w:r>
    </w:p>
    <w:p>
      <w:pPr>
        <w:pStyle w:val="Heading2"/>
        <w:spacing w:after="120" w:before="280"/>
      </w:pPr>
      <w:r>
        <w:rPr>
          <w:b/>
          <w:bCs/>
          <w:color w:val="1F4E5F"/>
          <w:sz w:val="26"/>
          <w:szCs w:val="26"/>
        </w:rPr>
        <w:t xml:space="preserve">Scope — what is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E4EAEE" w:val="clear"/>
            <w:tcMar>
              <w:top w:type="dxa" w:w="80"/>
              <w:left w:type="dxa" w:w="110"/>
              <w:bottom w:type="dxa" w:w="80"/>
              <w:right w:type="dxa" w:w="110"/>
            </w:tcMar>
          </w:tcPr>
          <w:p>
            <w:r>
              <w:rPr>
                <w:b/>
                <w:bCs/>
                <w:sz w:val="20"/>
                <w:szCs w:val="20"/>
              </w:rPr>
              <w:t xml:space="preserve">Category</w:t>
            </w:r>
          </w:p>
        </w:tc>
        <w:tc>
          <w:tcPr>
            <w:tcW w:type="dxa" w:w="3400"/>
            <w:shd w:fill="E4EAEE" w:val="clear"/>
            <w:tcMar>
              <w:top w:type="dxa" w:w="80"/>
              <w:left w:type="dxa" w:w="110"/>
              <w:bottom w:type="dxa" w:w="80"/>
              <w:right w:type="dxa" w:w="110"/>
            </w:tcMar>
          </w:tcPr>
          <w:p>
            <w:r>
              <w:rPr>
                <w:b/>
                <w:bCs/>
                <w:sz w:val="20"/>
                <w:szCs w:val="20"/>
              </w:rPr>
              <w:t xml:space="preserve">Detail</w:t>
            </w:r>
          </w:p>
        </w:tc>
        <w:tc>
          <w:tcPr>
            <w:tcW w:type="dxa" w:w="3060"/>
            <w:shd w:fill="E4EAEE" w:val="clear"/>
            <w:tcMar>
              <w:top w:type="dxa" w:w="80"/>
              <w:left w:type="dxa" w:w="110"/>
              <w:bottom w:type="dxa" w:w="80"/>
              <w:right w:type="dxa" w:w="110"/>
            </w:tcMar>
          </w:tcPr>
          <w:p>
            <w:r>
              <w:rPr>
                <w:b/>
                <w:bCs/>
                <w:sz w:val="20"/>
                <w:szCs w:val="20"/>
              </w:rPr>
              <w:t xml:space="preserve">Special category?</w:t>
            </w:r>
          </w:p>
        </w:tc>
      </w:tr>
      <w:tr>
        <w:trPr>
          <w:tblHeader w:val="false"/>
        </w:trPr>
        <w:tc>
          <w:tcPr>
            <w:tcW w:type="dxa" w:w="2900"/>
            <w:tcMar>
              <w:top w:type="dxa" w:w="80"/>
              <w:left w:type="dxa" w:w="110"/>
              <w:bottom w:type="dxa" w:w="80"/>
              <w:right w:type="dxa" w:w="110"/>
            </w:tcMar>
          </w:tcPr>
          <w:p>
            <w:r>
              <w:rPr>
                <w:b w:val="false"/>
                <w:bCs w:val="false"/>
                <w:sz w:val="20"/>
                <w:szCs w:val="20"/>
              </w:rPr>
              <w:t xml:space="preserve">Identity and account</w:t>
            </w:r>
          </w:p>
        </w:tc>
        <w:tc>
          <w:tcPr>
            <w:tcW w:type="dxa" w:w="3400"/>
            <w:tcMar>
              <w:top w:type="dxa" w:w="80"/>
              <w:left w:type="dxa" w:w="110"/>
              <w:bottom w:type="dxa" w:w="80"/>
              <w:right w:type="dxa" w:w="110"/>
            </w:tcMar>
          </w:tcPr>
          <w:p>
            <w:r>
              <w:rPr>
                <w:b w:val="false"/>
                <w:bCs w:val="false"/>
                <w:sz w:val="20"/>
                <w:szCs w:val="20"/>
              </w:rPr>
              <w:t xml:space="preserve">Email address, date of birth</w:t>
            </w:r>
          </w:p>
        </w:tc>
        <w:tc>
          <w:tcPr>
            <w:tcW w:type="dxa" w:w="3060"/>
            <w:tcMar>
              <w:top w:type="dxa" w:w="80"/>
              <w:left w:type="dxa" w:w="110"/>
              <w:bottom w:type="dxa" w:w="80"/>
              <w:right w:type="dxa" w:w="110"/>
            </w:tcMar>
          </w:tcPr>
          <w:p>
            <w:r>
              <w:rPr>
                <w:b w:val="false"/>
                <w:bCs w:val="false"/>
                <w:sz w:val="20"/>
                <w:szCs w:val="20"/>
              </w:rPr>
              <w:t xml:space="preserve">No</w:t>
            </w:r>
          </w:p>
        </w:tc>
      </w:tr>
      <w:tr>
        <w:trPr>
          <w:tblHeader w:val="false"/>
        </w:trPr>
        <w:tc>
          <w:tcPr>
            <w:tcW w:type="dxa" w:w="2900"/>
            <w:tcMar>
              <w:top w:type="dxa" w:w="80"/>
              <w:left w:type="dxa" w:w="110"/>
              <w:bottom w:type="dxa" w:w="80"/>
              <w:right w:type="dxa" w:w="110"/>
            </w:tcMar>
          </w:tcPr>
          <w:p>
            <w:r>
              <w:rPr>
                <w:b w:val="false"/>
                <w:bCs w:val="false"/>
                <w:sz w:val="20"/>
                <w:szCs w:val="20"/>
              </w:rPr>
              <w:t xml:space="preserve">Conditions</w:t>
            </w:r>
          </w:p>
        </w:tc>
        <w:tc>
          <w:tcPr>
            <w:tcW w:type="dxa" w:w="3400"/>
            <w:tcMar>
              <w:top w:type="dxa" w:w="80"/>
              <w:left w:type="dxa" w:w="110"/>
              <w:bottom w:type="dxa" w:w="80"/>
              <w:right w:type="dxa" w:w="110"/>
            </w:tcMar>
          </w:tcPr>
          <w:p>
            <w:r>
              <w:rPr>
                <w:b w:val="false"/>
                <w:bCs w:val="false"/>
                <w:sz w:val="20"/>
                <w:szCs w:val="20"/>
              </w:rPr>
              <w:t xml:space="preserve">Self-reported from a list of 29, with body zone</w:t>
            </w:r>
          </w:p>
        </w:tc>
        <w:tc>
          <w:tcPr>
            <w:tcW w:type="dxa" w:w="3060"/>
            <w:tcMar>
              <w:top w:type="dxa" w:w="80"/>
              <w:left w:type="dxa" w:w="110"/>
              <w:bottom w:type="dxa" w:w="80"/>
              <w:right w:type="dxa" w:w="110"/>
            </w:tcMar>
          </w:tcPr>
          <w:p>
            <w:r>
              <w:rPr>
                <w:b w:val="false"/>
                <w:bCs w:val="false"/>
                <w:sz w:val="20"/>
                <w:szCs w:val="20"/>
              </w:rPr>
              <w:t xml:space="preserve">Yes — health</w:t>
            </w:r>
          </w:p>
        </w:tc>
      </w:tr>
      <w:tr>
        <w:trPr>
          <w:tblHeader w:val="false"/>
        </w:trPr>
        <w:tc>
          <w:tcPr>
            <w:tcW w:type="dxa" w:w="2900"/>
            <w:tcMar>
              <w:top w:type="dxa" w:w="80"/>
              <w:left w:type="dxa" w:w="110"/>
              <w:bottom w:type="dxa" w:w="80"/>
              <w:right w:type="dxa" w:w="110"/>
            </w:tcMar>
          </w:tcPr>
          <w:p>
            <w:r>
              <w:rPr>
                <w:b w:val="false"/>
                <w:bCs w:val="false"/>
                <w:sz w:val="20"/>
                <w:szCs w:val="20"/>
              </w:rPr>
              <w:t xml:space="preserve">Daily check-in</w:t>
            </w:r>
          </w:p>
        </w:tc>
        <w:tc>
          <w:tcPr>
            <w:tcW w:type="dxa" w:w="3400"/>
            <w:tcMar>
              <w:top w:type="dxa" w:w="80"/>
              <w:left w:type="dxa" w:w="110"/>
              <w:bottom w:type="dxa" w:w="80"/>
              <w:right w:type="dxa" w:w="110"/>
            </w:tcMar>
          </w:tcPr>
          <w:p>
            <w:r>
              <w:rPr>
                <w:b w:val="false"/>
                <w:bCs w:val="false"/>
                <w:sz w:val="20"/>
                <w:szCs w:val="20"/>
              </w:rPr>
              <w:t xml:space="preserve">Energy, mood, sleep, pain location and severity, available time</w:t>
            </w:r>
          </w:p>
        </w:tc>
        <w:tc>
          <w:tcPr>
            <w:tcW w:type="dxa" w:w="3060"/>
            <w:tcMar>
              <w:top w:type="dxa" w:w="80"/>
              <w:left w:type="dxa" w:w="110"/>
              <w:bottom w:type="dxa" w:w="80"/>
              <w:right w:type="dxa" w:w="110"/>
            </w:tcMar>
          </w:tcPr>
          <w:p>
            <w:r>
              <w:rPr>
                <w:b w:val="false"/>
                <w:bCs w:val="false"/>
                <w:sz w:val="20"/>
                <w:szCs w:val="20"/>
              </w:rPr>
              <w:t xml:space="preserve">Yes — health</w:t>
            </w:r>
          </w:p>
        </w:tc>
      </w:tr>
      <w:tr>
        <w:trPr>
          <w:tblHeader w:val="false"/>
        </w:trPr>
        <w:tc>
          <w:tcPr>
            <w:tcW w:type="dxa" w:w="2900"/>
            <w:tcMar>
              <w:top w:type="dxa" w:w="80"/>
              <w:left w:type="dxa" w:w="110"/>
              <w:bottom w:type="dxa" w:w="80"/>
              <w:right w:type="dxa" w:w="110"/>
            </w:tcMar>
          </w:tcPr>
          <w:p>
            <w:r>
              <w:rPr>
                <w:b w:val="false"/>
                <w:bCs w:val="false"/>
                <w:sz w:val="20"/>
                <w:szCs w:val="20"/>
              </w:rPr>
              <w:t xml:space="preserve">Cycle phase</w:t>
            </w:r>
          </w:p>
        </w:tc>
        <w:tc>
          <w:tcPr>
            <w:tcW w:type="dxa" w:w="3400"/>
            <w:tcMar>
              <w:top w:type="dxa" w:w="80"/>
              <w:left w:type="dxa" w:w="110"/>
              <w:bottom w:type="dxa" w:w="80"/>
              <w:right w:type="dxa" w:w="110"/>
            </w:tcMar>
          </w:tcPr>
          <w:p>
            <w:r>
              <w:rPr>
                <w:b w:val="false"/>
                <w:bCs w:val="false"/>
                <w:sz w:val="20"/>
                <w:szCs w:val="20"/>
              </w:rPr>
              <w:t xml:space="preserve">Optional, self-reported</w:t>
            </w:r>
          </w:p>
        </w:tc>
        <w:tc>
          <w:tcPr>
            <w:tcW w:type="dxa" w:w="3060"/>
            <w:tcMar>
              <w:top w:type="dxa" w:w="80"/>
              <w:left w:type="dxa" w:w="110"/>
              <w:bottom w:type="dxa" w:w="80"/>
              <w:right w:type="dxa" w:w="110"/>
            </w:tcMar>
          </w:tcPr>
          <w:p>
            <w:r>
              <w:rPr>
                <w:b w:val="false"/>
                <w:bCs w:val="false"/>
                <w:sz w:val="20"/>
                <w:szCs w:val="20"/>
              </w:rPr>
              <w:t xml:space="preserve">Yes — health</w:t>
            </w:r>
          </w:p>
        </w:tc>
      </w:tr>
      <w:tr>
        <w:trPr>
          <w:tblHeader w:val="false"/>
        </w:trPr>
        <w:tc>
          <w:tcPr>
            <w:tcW w:type="dxa" w:w="2900"/>
            <w:tcMar>
              <w:top w:type="dxa" w:w="80"/>
              <w:left w:type="dxa" w:w="110"/>
              <w:bottom w:type="dxa" w:w="80"/>
              <w:right w:type="dxa" w:w="110"/>
            </w:tcMar>
          </w:tcPr>
          <w:p>
            <w:r>
              <w:rPr>
                <w:b w:val="false"/>
                <w:bCs w:val="false"/>
                <w:sz w:val="20"/>
                <w:szCs w:val="20"/>
              </w:rPr>
              <w:t xml:space="preserve">Weight</w:t>
            </w:r>
          </w:p>
        </w:tc>
        <w:tc>
          <w:tcPr>
            <w:tcW w:type="dxa" w:w="3400"/>
            <w:tcMar>
              <w:top w:type="dxa" w:w="80"/>
              <w:left w:type="dxa" w:w="110"/>
              <w:bottom w:type="dxa" w:w="80"/>
              <w:right w:type="dxa" w:w="110"/>
            </w:tcMar>
          </w:tcPr>
          <w:p>
            <w:r>
              <w:rPr>
                <w:b w:val="false"/>
                <w:bCs w:val="false"/>
                <w:sz w:val="20"/>
                <w:szCs w:val="20"/>
              </w:rPr>
              <w:t xml:space="preserve">Off by default, Plan only, optional</w:t>
            </w:r>
          </w:p>
        </w:tc>
        <w:tc>
          <w:tcPr>
            <w:tcW w:type="dxa" w:w="3060"/>
            <w:tcMar>
              <w:top w:type="dxa" w:w="80"/>
              <w:left w:type="dxa" w:w="110"/>
              <w:bottom w:type="dxa" w:w="80"/>
              <w:right w:type="dxa" w:w="110"/>
            </w:tcMar>
          </w:tcPr>
          <w:p>
            <w:r>
              <w:rPr>
                <w:b w:val="false"/>
                <w:bCs w:val="false"/>
                <w:sz w:val="20"/>
                <w:szCs w:val="20"/>
              </w:rPr>
              <w:t xml:space="preserve">Yes — health</w:t>
            </w:r>
          </w:p>
        </w:tc>
      </w:tr>
      <w:tr>
        <w:trPr>
          <w:tblHeader w:val="false"/>
        </w:trPr>
        <w:tc>
          <w:tcPr>
            <w:tcW w:type="dxa" w:w="2900"/>
            <w:tcMar>
              <w:top w:type="dxa" w:w="80"/>
              <w:left w:type="dxa" w:w="110"/>
              <w:bottom w:type="dxa" w:w="80"/>
              <w:right w:type="dxa" w:w="110"/>
            </w:tcMar>
          </w:tcPr>
          <w:p>
            <w:r>
              <w:rPr>
                <w:b w:val="false"/>
                <w:bCs w:val="false"/>
                <w:sz w:val="20"/>
                <w:szCs w:val="20"/>
              </w:rPr>
              <w:t xml:space="preserve">Journal</w:t>
            </w:r>
          </w:p>
        </w:tc>
        <w:tc>
          <w:tcPr>
            <w:tcW w:type="dxa" w:w="3400"/>
            <w:tcMar>
              <w:top w:type="dxa" w:w="80"/>
              <w:left w:type="dxa" w:w="110"/>
              <w:bottom w:type="dxa" w:w="80"/>
              <w:right w:type="dxa" w:w="110"/>
            </w:tcMar>
          </w:tcPr>
          <w:p>
            <w:r>
              <w:rPr>
                <w:b w:val="false"/>
                <w:bCs w:val="false"/>
                <w:sz w:val="20"/>
                <w:szCs w:val="20"/>
              </w:rPr>
              <w:t xml:space="preserve">Free text, entirely user-authored</w:t>
            </w:r>
          </w:p>
        </w:tc>
        <w:tc>
          <w:tcPr>
            <w:tcW w:type="dxa" w:w="3060"/>
            <w:tcMar>
              <w:top w:type="dxa" w:w="80"/>
              <w:left w:type="dxa" w:w="110"/>
              <w:bottom w:type="dxa" w:w="80"/>
              <w:right w:type="dxa" w:w="110"/>
            </w:tcMar>
          </w:tcPr>
          <w:p>
            <w:r>
              <w:rPr>
                <w:b w:val="false"/>
                <w:bCs w:val="false"/>
                <w:sz w:val="20"/>
                <w:szCs w:val="20"/>
              </w:rPr>
              <w:t xml:space="preserve">Yes — must be assumed to contain health data and potentially more</w:t>
            </w:r>
          </w:p>
        </w:tc>
      </w:tr>
      <w:tr>
        <w:trPr>
          <w:tblHeader w:val="false"/>
        </w:trPr>
        <w:tc>
          <w:tcPr>
            <w:tcW w:type="dxa" w:w="2900"/>
            <w:tcMar>
              <w:top w:type="dxa" w:w="80"/>
              <w:left w:type="dxa" w:w="110"/>
              <w:bottom w:type="dxa" w:w="80"/>
              <w:right w:type="dxa" w:w="110"/>
            </w:tcMar>
          </w:tcPr>
          <w:p>
            <w:r>
              <w:rPr>
                <w:b w:val="false"/>
                <w:bCs w:val="false"/>
                <w:sz w:val="20"/>
                <w:szCs w:val="20"/>
              </w:rPr>
              <w:t xml:space="preserve">Feeling-words</w:t>
            </w:r>
          </w:p>
        </w:tc>
        <w:tc>
          <w:tcPr>
            <w:tcW w:type="dxa" w:w="3400"/>
            <w:tcMar>
              <w:top w:type="dxa" w:w="80"/>
              <w:left w:type="dxa" w:w="110"/>
              <w:bottom w:type="dxa" w:w="80"/>
              <w:right w:type="dxa" w:w="110"/>
            </w:tcMar>
          </w:tcPr>
          <w:p>
            <w:r>
              <w:rPr>
                <w:b w:val="false"/>
                <w:bCs w:val="false"/>
                <w:sz w:val="20"/>
                <w:szCs w:val="20"/>
              </w:rPr>
              <w:t xml:space="preserve">Selections from a fixed list, plus mood history</w:t>
            </w:r>
          </w:p>
        </w:tc>
        <w:tc>
          <w:tcPr>
            <w:tcW w:type="dxa" w:w="3060"/>
            <w:tcMar>
              <w:top w:type="dxa" w:w="80"/>
              <w:left w:type="dxa" w:w="110"/>
              <w:bottom w:type="dxa" w:w="80"/>
              <w:right w:type="dxa" w:w="110"/>
            </w:tcMar>
          </w:tcPr>
          <w:p>
            <w:r>
              <w:rPr>
                <w:b w:val="false"/>
                <w:bCs w:val="false"/>
                <w:sz w:val="20"/>
                <w:szCs w:val="20"/>
              </w:rPr>
              <w:t xml:space="preserve">Yes — health</w:t>
            </w:r>
          </w:p>
        </w:tc>
      </w:tr>
      <w:tr>
        <w:trPr>
          <w:tblHeader w:val="false"/>
        </w:trPr>
        <w:tc>
          <w:tcPr>
            <w:tcW w:type="dxa" w:w="2900"/>
            <w:tcMar>
              <w:top w:type="dxa" w:w="80"/>
              <w:left w:type="dxa" w:w="110"/>
              <w:bottom w:type="dxa" w:w="80"/>
              <w:right w:type="dxa" w:w="110"/>
            </w:tcMar>
          </w:tcPr>
          <w:p>
            <w:r>
              <w:rPr>
                <w:b w:val="false"/>
                <w:bCs w:val="false"/>
                <w:sz w:val="20"/>
                <w:szCs w:val="20"/>
              </w:rPr>
              <w:t xml:space="preserve">Activity and session history</w:t>
            </w:r>
          </w:p>
        </w:tc>
        <w:tc>
          <w:tcPr>
            <w:tcW w:type="dxa" w:w="3400"/>
            <w:tcMar>
              <w:top w:type="dxa" w:w="80"/>
              <w:left w:type="dxa" w:w="110"/>
              <w:bottom w:type="dxa" w:w="80"/>
              <w:right w:type="dxa" w:w="110"/>
            </w:tcMar>
          </w:tcPr>
          <w:p>
            <w:r>
              <w:rPr>
                <w:b w:val="false"/>
                <w:bCs w:val="false"/>
                <w:sz w:val="20"/>
                <w:szCs w:val="20"/>
              </w:rPr>
              <w:t xml:space="preserve">What was proposed, what was done, how it felt afterwards</w:t>
            </w:r>
          </w:p>
        </w:tc>
        <w:tc>
          <w:tcPr>
            <w:tcW w:type="dxa" w:w="3060"/>
            <w:tcMar>
              <w:top w:type="dxa" w:w="80"/>
              <w:left w:type="dxa" w:w="110"/>
              <w:bottom w:type="dxa" w:w="80"/>
              <w:right w:type="dxa" w:w="110"/>
            </w:tcMar>
          </w:tcPr>
          <w:p>
            <w:r>
              <w:rPr>
                <w:b w:val="false"/>
                <w:bCs w:val="false"/>
                <w:sz w:val="20"/>
                <w:szCs w:val="20"/>
              </w:rPr>
              <w:t xml:space="preserve">Yes — health</w:t>
            </w:r>
          </w:p>
        </w:tc>
      </w:tr>
      <w:tr>
        <w:trPr>
          <w:tblHeader w:val="false"/>
        </w:trPr>
        <w:tc>
          <w:tcPr>
            <w:tcW w:type="dxa" w:w="2900"/>
            <w:tcMar>
              <w:top w:type="dxa" w:w="80"/>
              <w:left w:type="dxa" w:w="110"/>
              <w:bottom w:type="dxa" w:w="80"/>
              <w:right w:type="dxa" w:w="110"/>
            </w:tcMar>
          </w:tcPr>
          <w:p>
            <w:r>
              <w:rPr>
                <w:b w:val="false"/>
                <w:bCs w:val="false"/>
                <w:sz w:val="20"/>
                <w:szCs w:val="20"/>
              </w:rPr>
              <w:t xml:space="preserve">Derived patterns</w:t>
            </w:r>
          </w:p>
        </w:tc>
        <w:tc>
          <w:tcPr>
            <w:tcW w:type="dxa" w:w="3400"/>
            <w:tcMar>
              <w:top w:type="dxa" w:w="80"/>
              <w:left w:type="dxa" w:w="110"/>
              <w:bottom w:type="dxa" w:w="80"/>
              <w:right w:type="dxa" w:w="110"/>
            </w:tcMar>
          </w:tcPr>
          <w:p>
            <w:r>
              <w:rPr>
                <w:b w:val="false"/>
                <w:bCs w:val="false"/>
                <w:sz w:val="20"/>
                <w:szCs w:val="20"/>
              </w:rPr>
              <w:t xml:space="preserve">Burnout indicators, load trends, coach bias</w:t>
            </w:r>
          </w:p>
        </w:tc>
        <w:tc>
          <w:tcPr>
            <w:tcW w:type="dxa" w:w="3060"/>
            <w:tcMar>
              <w:top w:type="dxa" w:w="80"/>
              <w:left w:type="dxa" w:w="110"/>
              <w:bottom w:type="dxa" w:w="80"/>
              <w:right w:type="dxa" w:w="110"/>
            </w:tcMar>
          </w:tcPr>
          <w:p>
            <w:r>
              <w:rPr>
                <w:b w:val="false"/>
                <w:bCs w:val="false"/>
                <w:sz w:val="20"/>
                <w:szCs w:val="20"/>
              </w:rPr>
              <w:t xml:space="preserve">Yes — inferred health data</w:t>
            </w:r>
          </w:p>
        </w:tc>
      </w:tr>
      <w:tr>
        <w:trPr>
          <w:tblHeader w:val="false"/>
        </w:trPr>
        <w:tc>
          <w:tcPr>
            <w:tcW w:type="dxa" w:w="2900"/>
            <w:tcMar>
              <w:top w:type="dxa" w:w="80"/>
              <w:left w:type="dxa" w:w="110"/>
              <w:bottom w:type="dxa" w:w="80"/>
              <w:right w:type="dxa" w:w="110"/>
            </w:tcMar>
          </w:tcPr>
          <w:p>
            <w:r>
              <w:rPr>
                <w:b w:val="false"/>
                <w:bCs w:val="false"/>
                <w:sz w:val="20"/>
                <w:szCs w:val="20"/>
              </w:rPr>
              <w:t xml:space="preserve">Payment record</w:t>
            </w:r>
          </w:p>
        </w:tc>
        <w:tc>
          <w:tcPr>
            <w:tcW w:type="dxa" w:w="3400"/>
            <w:tcMar>
              <w:top w:type="dxa" w:w="80"/>
              <w:left w:type="dxa" w:w="110"/>
              <w:bottom w:type="dxa" w:w="80"/>
              <w:right w:type="dxa" w:w="110"/>
            </w:tcMar>
          </w:tcPr>
          <w:p>
            <w:r>
              <w:rPr>
                <w:b w:val="false"/>
                <w:bCs w:val="false"/>
                <w:sz w:val="20"/>
                <w:szCs w:val="20"/>
              </w:rPr>
              <w:t xml:space="preserve">That a payment occurred and when. No card data.</w:t>
            </w:r>
          </w:p>
        </w:tc>
        <w:tc>
          <w:tcPr>
            <w:tcW w:type="dxa" w:w="3060"/>
            <w:tcMar>
              <w:top w:type="dxa" w:w="80"/>
              <w:left w:type="dxa" w:w="110"/>
              <w:bottom w:type="dxa" w:w="80"/>
              <w:right w:type="dxa" w:w="110"/>
            </w:tcMar>
          </w:tcPr>
          <w:p>
            <w:r>
              <w:rPr>
                <w:b w:val="false"/>
                <w:bCs w:val="false"/>
                <w:sz w:val="20"/>
                <w:szCs w:val="20"/>
              </w:rPr>
              <w:t xml:space="preserve">No</w:t>
            </w:r>
          </w:p>
        </w:tc>
      </w:tr>
      <w:tr>
        <w:trPr>
          <w:tblHeader w:val="false"/>
        </w:trPr>
        <w:tc>
          <w:tcPr>
            <w:tcW w:type="dxa" w:w="2900"/>
            <w:tcMar>
              <w:top w:type="dxa" w:w="80"/>
              <w:left w:type="dxa" w:w="110"/>
              <w:bottom w:type="dxa" w:w="80"/>
              <w:right w:type="dxa" w:w="110"/>
            </w:tcMar>
          </w:tcPr>
          <w:p>
            <w:r>
              <w:rPr>
                <w:b w:val="false"/>
                <w:bCs w:val="false"/>
                <w:sz w:val="20"/>
                <w:szCs w:val="20"/>
              </w:rPr>
              <w:t xml:space="preserve">Error telemetry</w:t>
            </w:r>
          </w:p>
        </w:tc>
        <w:tc>
          <w:tcPr>
            <w:tcW w:type="dxa" w:w="3400"/>
            <w:tcMar>
              <w:top w:type="dxa" w:w="80"/>
              <w:left w:type="dxa" w:w="110"/>
              <w:bottom w:type="dxa" w:w="80"/>
              <w:right w:type="dxa" w:w="110"/>
            </w:tcMar>
          </w:tcPr>
          <w:p>
            <w:r>
              <w:rPr>
                <w:b w:val="false"/>
                <w:bCs w:val="false"/>
                <w:sz w:val="20"/>
                <w:szCs w:val="20"/>
              </w:rPr>
              <w:t xml:space="preserve">Stack traces, scrubbed of health terms</w:t>
            </w:r>
          </w:p>
        </w:tc>
        <w:tc>
          <w:tcPr>
            <w:tcW w:type="dxa" w:w="3060"/>
            <w:tcMar>
              <w:top w:type="dxa" w:w="80"/>
              <w:left w:type="dxa" w:w="110"/>
              <w:bottom w:type="dxa" w:w="80"/>
              <w:right w:type="dxa" w:w="110"/>
            </w:tcMar>
          </w:tcPr>
          <w:p>
            <w:r>
              <w:rPr>
                <w:b w:val="false"/>
                <w:bCs w:val="false"/>
                <w:sz w:val="20"/>
                <w:szCs w:val="20"/>
              </w:rPr>
              <w:t xml:space="preserve">No, by design</w:t>
            </w:r>
          </w:p>
        </w:tc>
      </w:tr>
    </w:tbl>
    <w:p>
      <w:pPr>
        <w:pStyle w:val="Heading2"/>
        <w:spacing w:after="120" w:before="280"/>
      </w:pPr>
      <w:r>
        <w:rPr>
          <w:b/>
          <w:bCs/>
          <w:color w:val="1F4E5F"/>
          <w:sz w:val="26"/>
          <w:szCs w:val="26"/>
        </w:rPr>
        <w:t xml:space="preserve">Context</w:t>
      </w:r>
    </w:p>
    <w:p>
      <w:pPr>
        <w:spacing w:after="140"/>
      </w:pPr>
      <w:r>
        <w:rPr>
          <w:sz w:val="22"/>
          <w:szCs w:val="22"/>
        </w:rPr>
        <w:t xml:space="preserve">The intended users are people mainstream fitness has consistently failed: neurodivergent adults, people navigating hormonal change, people managing chronic conditions, people in or recovering from burnout. Several of these groups are, in data protection terms, more vulnerable than a general population — not because of capacity, but because the data itself is more damaging if exposed, and because a previous bad experience with a service in this space is the norm rather than the exception for them.</w:t>
      </w:r>
    </w:p>
    <w:p>
      <w:pPr>
        <w:spacing w:after="140"/>
      </w:pPr>
      <w:r>
        <w:rPr>
          <w:sz w:val="22"/>
          <w:szCs w:val="22"/>
        </w:rPr>
        <w:t xml:space="preserve">Two contextual facts that raise the stakes and should not be softened:</w:t>
      </w:r>
    </w:p>
    <w:p>
      <w:pPr>
        <w:pStyle w:val="ListParagraph"/>
        <w:numPr>
          <w:ilvl w:val="0"/>
          <w:numId w:val="2"/>
        </w:numPr>
        <w:spacing w:after="80"/>
      </w:pPr>
      <w:r>
        <w:rPr>
          <w:sz w:val="22"/>
          <w:szCs w:val="22"/>
        </w:rPr>
        <w:t xml:space="preserve">Acquisition is intended to be referral-led, through physiotherapists, social prescribing link workers, occupational health and condition charities. If organisational taster codes are used, the fact that a named individual is using Alongside could itself be inferred by the referring organisation. That is a risk created by the acquisition model, not by the app.</w:t>
      </w:r>
    </w:p>
    <w:p>
      <w:pPr>
        <w:pStyle w:val="ListParagraph"/>
        <w:numPr>
          <w:ilvl w:val="0"/>
          <w:numId w:val="2"/>
        </w:numPr>
        <w:spacing w:after="80"/>
      </w:pPr>
      <w:r>
        <w:rPr>
          <w:sz w:val="22"/>
          <w:szCs w:val="22"/>
        </w:rPr>
        <w:t xml:space="preserve">Build New Habits is one person. There is no second pair of hands to respond to a breach at 2am, no colleague to cover a subject access request during illness, and no separation of duties. This is a genuine risk factor and is treated as one at Step 5.</w:t>
      </w:r>
    </w:p>
    <w:p>
      <w:pPr>
        <w:pStyle w:val="Heading2"/>
        <w:spacing w:after="120" w:before="280"/>
      </w:pPr>
      <w:r>
        <w:rPr>
          <w:b/>
          <w:bCs/>
          <w:color w:val="1F4E5F"/>
          <w:sz w:val="26"/>
          <w:szCs w:val="26"/>
        </w:rPr>
        <w:t xml:space="preserve">Purposes</w:t>
      </w:r>
    </w:p>
    <w:p>
      <w:pPr>
        <w:pStyle w:val="ListParagraph"/>
        <w:numPr>
          <w:ilvl w:val="0"/>
          <w:numId w:val="2"/>
        </w:numPr>
        <w:spacing w:after="80"/>
      </w:pPr>
      <w:r>
        <w:rPr>
          <w:sz w:val="22"/>
          <w:szCs w:val="22"/>
        </w:rPr>
        <w:t xml:space="preserve">To generate movement that is safe for the person's body on the day, rather than a fixed programme that ignores it.</w:t>
      </w:r>
    </w:p>
    <w:p>
      <w:pPr>
        <w:pStyle w:val="ListParagraph"/>
        <w:numPr>
          <w:ilvl w:val="0"/>
          <w:numId w:val="2"/>
        </w:numPr>
        <w:spacing w:after="80"/>
      </w:pPr>
      <w:r>
        <w:rPr>
          <w:sz w:val="22"/>
          <w:szCs w:val="22"/>
        </w:rPr>
        <w:t xml:space="preserve">To let the person see their own history back, without interpretation being imposed on it.</w:t>
      </w:r>
    </w:p>
    <w:p>
      <w:pPr>
        <w:pStyle w:val="ListParagraph"/>
        <w:numPr>
          <w:ilvl w:val="0"/>
          <w:numId w:val="2"/>
        </w:numPr>
        <w:spacing w:after="80"/>
      </w:pPr>
      <w:r>
        <w:rPr>
          <w:sz w:val="22"/>
          <w:szCs w:val="22"/>
        </w:rPr>
        <w:t xml:space="preserve">To hold the arc of a plan over time for paying users.</w:t>
      </w:r>
    </w:p>
    <w:p>
      <w:pPr>
        <w:pStyle w:val="ListParagraph"/>
        <w:numPr>
          <w:ilvl w:val="0"/>
          <w:numId w:val="2"/>
        </w:numPr>
        <w:spacing w:after="80"/>
      </w:pPr>
      <w:r>
        <w:rPr>
          <w:sz w:val="22"/>
          <w:szCs w:val="22"/>
        </w:rPr>
        <w:t xml:space="preserve">To keep the app working, secure and paid for.</w:t>
      </w:r>
    </w:p>
    <w:p>
      <w:pPr>
        <w:pStyle w:val="Heading1"/>
        <w:spacing w:after="160" w:before="360"/>
      </w:pPr>
      <w:r>
        <w:rPr>
          <w:b/>
          <w:bCs/>
          <w:color w:val="1F4E5F"/>
          <w:sz w:val="32"/>
          <w:szCs w:val="32"/>
        </w:rPr>
        <w:t xml:space="preserve">Step 3 — Consultation</w:t>
      </w:r>
    </w:p>
    <w:p>
      <w:pPr>
        <w:spacing w:after="140"/>
      </w:pPr>
      <w:r>
        <w:rPr>
          <w:sz w:val="22"/>
          <w:szCs w:val="22"/>
        </w:rPr>
        <w:t xml:space="preserve">Article 35(9) says the controller should seek the views of data subjects or their representatives where appropriate. It is appropriate here and it has not been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E4EAEE" w:val="clear"/>
            <w:tcMar>
              <w:top w:type="dxa" w:w="80"/>
              <w:left w:type="dxa" w:w="110"/>
              <w:bottom w:type="dxa" w:w="80"/>
              <w:right w:type="dxa" w:w="110"/>
            </w:tcMar>
          </w:tcPr>
          <w:p>
            <w:r>
              <w:rPr>
                <w:b/>
                <w:bCs/>
                <w:sz w:val="20"/>
                <w:szCs w:val="20"/>
              </w:rPr>
              <w:t xml:space="preserve">Consultation</w:t>
            </w:r>
          </w:p>
        </w:tc>
        <w:tc>
          <w:tcPr>
            <w:tcW w:type="dxa" w:w="6260"/>
            <w:shd w:fill="E4EAEE" w:val="clear"/>
            <w:tcMar>
              <w:top w:type="dxa" w:w="80"/>
              <w:left w:type="dxa" w:w="110"/>
              <w:bottom w:type="dxa" w:w="80"/>
              <w:right w:type="dxa" w:w="110"/>
            </w:tcMar>
          </w:tcPr>
          <w:p>
            <w:r>
              <w:rPr>
                <w:b/>
                <w:bCs/>
                <w:sz w:val="20"/>
                <w:szCs w:val="20"/>
              </w:rPr>
              <w:t xml:space="preserve">Status</w:t>
            </w:r>
          </w:p>
        </w:tc>
      </w:tr>
      <w:tr>
        <w:trPr>
          <w:tblHeader w:val="false"/>
        </w:trPr>
        <w:tc>
          <w:tcPr>
            <w:tcW w:type="dxa" w:w="3100"/>
            <w:tcMar>
              <w:top w:type="dxa" w:w="80"/>
              <w:left w:type="dxa" w:w="110"/>
              <w:bottom w:type="dxa" w:w="80"/>
              <w:right w:type="dxa" w:w="110"/>
            </w:tcMar>
          </w:tcPr>
          <w:p>
            <w:r>
              <w:rPr>
                <w:b w:val="false"/>
                <w:bCs w:val="false"/>
                <w:sz w:val="20"/>
                <w:szCs w:val="20"/>
              </w:rPr>
              <w:t xml:space="preserve">Users and prospective users</w:t>
            </w:r>
          </w:p>
        </w:tc>
        <w:tc>
          <w:tcPr>
            <w:tcW w:type="dxa" w:w="6260"/>
            <w:tcMar>
              <w:top w:type="dxa" w:w="80"/>
              <w:left w:type="dxa" w:w="110"/>
              <w:bottom w:type="dxa" w:w="80"/>
              <w:right w:type="dxa" w:w="110"/>
            </w:tcMar>
          </w:tcPr>
          <w:p>
            <w:r>
              <w:rPr>
                <w:b w:val="false"/>
                <w:bCs w:val="false"/>
                <w:sz w:val="20"/>
                <w:szCs w:val="20"/>
              </w:rPr>
              <w:t xml:space="preserve">NOT DONE. The mid-September beta is the obvious opportunity and it is close enough to be usable. Proposal: a short, optional, plain-language data questions round with beta testers in week two, and record the answers here.</w:t>
            </w:r>
          </w:p>
        </w:tc>
      </w:tr>
      <w:tr>
        <w:trPr>
          <w:tblHeader w:val="false"/>
        </w:trPr>
        <w:tc>
          <w:tcPr>
            <w:tcW w:type="dxa" w:w="3100"/>
            <w:tcMar>
              <w:top w:type="dxa" w:w="80"/>
              <w:left w:type="dxa" w:w="110"/>
              <w:bottom w:type="dxa" w:w="80"/>
              <w:right w:type="dxa" w:w="110"/>
            </w:tcMar>
          </w:tcPr>
          <w:p>
            <w:r>
              <w:rPr>
                <w:b w:val="false"/>
                <w:bCs w:val="false"/>
                <w:sz w:val="20"/>
                <w:szCs w:val="20"/>
              </w:rPr>
              <w:t xml:space="preserve">Community organisations</w:t>
            </w:r>
          </w:p>
        </w:tc>
        <w:tc>
          <w:tcPr>
            <w:tcW w:type="dxa" w:w="6260"/>
            <w:tcMar>
              <w:top w:type="dxa" w:w="80"/>
              <w:left w:type="dxa" w:w="110"/>
              <w:bottom w:type="dxa" w:w="80"/>
              <w:right w:type="dxa" w:w="110"/>
            </w:tcMar>
          </w:tcPr>
          <w:p>
            <w:r>
              <w:rPr>
                <w:b w:val="false"/>
                <w:bCs w:val="false"/>
                <w:sz w:val="20"/>
                <w:szCs w:val="20"/>
              </w:rPr>
              <w:t xml:space="preserve">NOT DONE. Outreach categories are still unconfirmed. When they are, the same questions can go to them.</w:t>
            </w:r>
          </w:p>
        </w:tc>
      </w:tr>
      <w:tr>
        <w:trPr>
          <w:tblHeader w:val="false"/>
        </w:trPr>
        <w:tc>
          <w:tcPr>
            <w:tcW w:type="dxa" w:w="3100"/>
            <w:tcMar>
              <w:top w:type="dxa" w:w="80"/>
              <w:left w:type="dxa" w:w="110"/>
              <w:bottom w:type="dxa" w:w="80"/>
              <w:right w:type="dxa" w:w="110"/>
            </w:tcMar>
          </w:tcPr>
          <w:p>
            <w:r>
              <w:rPr>
                <w:b w:val="false"/>
                <w:bCs w:val="false"/>
                <w:sz w:val="20"/>
                <w:szCs w:val="20"/>
              </w:rPr>
              <w:t xml:space="preserve">Clinical</w:t>
            </w:r>
          </w:p>
        </w:tc>
        <w:tc>
          <w:tcPr>
            <w:tcW w:type="dxa" w:w="6260"/>
            <w:tcMar>
              <w:top w:type="dxa" w:w="80"/>
              <w:left w:type="dxa" w:w="110"/>
              <w:bottom w:type="dxa" w:w="80"/>
              <w:right w:type="dxa" w:w="110"/>
            </w:tcMar>
          </w:tcPr>
          <w:p>
            <w:r>
              <w:rPr>
                <w:b w:val="false"/>
                <w:bCs w:val="false"/>
                <w:sz w:val="20"/>
                <w:szCs w:val="20"/>
              </w:rPr>
              <w:t xml:space="preserve">Clinical review pack finished and ready to send; physiotherapist reviewer not yet identified. Relevant to the physical-safety risks at R4.</w:t>
            </w:r>
          </w:p>
        </w:tc>
      </w:tr>
      <w:tr>
        <w:trPr>
          <w:tblHeader w:val="false"/>
        </w:trPr>
        <w:tc>
          <w:tcPr>
            <w:tcW w:type="dxa" w:w="3100"/>
            <w:tcMar>
              <w:top w:type="dxa" w:w="80"/>
              <w:left w:type="dxa" w:w="110"/>
              <w:bottom w:type="dxa" w:w="80"/>
              <w:right w:type="dxa" w:w="110"/>
            </w:tcMar>
          </w:tcPr>
          <w:p>
            <w:r>
              <w:rPr>
                <w:b w:val="false"/>
                <w:bCs w:val="false"/>
                <w:sz w:val="20"/>
                <w:szCs w:val="20"/>
              </w:rPr>
              <w:t xml:space="preserve">Safeguarding</w:t>
            </w:r>
          </w:p>
        </w:tc>
        <w:tc>
          <w:tcPr>
            <w:tcW w:type="dxa" w:w="6260"/>
            <w:tcMar>
              <w:top w:type="dxa" w:w="80"/>
              <w:left w:type="dxa" w:w="110"/>
              <w:bottom w:type="dxa" w:w="80"/>
              <w:right w:type="dxa" w:w="110"/>
            </w:tcMar>
          </w:tcPr>
          <w:p>
            <w:r>
              <w:rPr>
                <w:b w:val="false"/>
                <w:bCs w:val="false"/>
                <w:sz w:val="20"/>
                <w:szCs w:val="20"/>
              </w:rPr>
              <w:t xml:space="preserve">Three reviewer roles open since early July, none filled. Relevant to R2 and R3.</w:t>
            </w:r>
          </w:p>
        </w:tc>
      </w:tr>
      <w:tr>
        <w:trPr>
          <w:tblHeader w:val="false"/>
        </w:trPr>
        <w:tc>
          <w:tcPr>
            <w:tcW w:type="dxa" w:w="3100"/>
            <w:tcMar>
              <w:top w:type="dxa" w:w="80"/>
              <w:left w:type="dxa" w:w="110"/>
              <w:bottom w:type="dxa" w:w="80"/>
              <w:right w:type="dxa" w:w="110"/>
            </w:tcMar>
          </w:tcPr>
          <w:p>
            <w:r>
              <w:rPr>
                <w:b w:val="false"/>
                <w:bCs w:val="false"/>
                <w:sz w:val="20"/>
                <w:szCs w:val="20"/>
              </w:rPr>
              <w:t xml:space="preserve">Legal</w:t>
            </w:r>
          </w:p>
        </w:tc>
        <w:tc>
          <w:tcPr>
            <w:tcW w:type="dxa" w:w="6260"/>
            <w:tcMar>
              <w:top w:type="dxa" w:w="80"/>
              <w:left w:type="dxa" w:w="110"/>
              <w:bottom w:type="dxa" w:w="80"/>
              <w:right w:type="dxa" w:w="110"/>
            </w:tcMar>
          </w:tcPr>
          <w:p>
            <w:r>
              <w:rPr>
                <w:b w:val="false"/>
                <w:bCs w:val="false"/>
                <w:sz w:val="20"/>
                <w:szCs w:val="20"/>
              </w:rPr>
              <w:t xml:space="preserve">Foot Anstey engaged. Scoping call offered, not yet taken.</w:t>
            </w:r>
          </w:p>
        </w:tc>
      </w:tr>
      <w:tr>
        <w:trPr>
          <w:tblHeader w:val="false"/>
        </w:trPr>
        <w:tc>
          <w:tcPr>
            <w:tcW w:type="dxa" w:w="3100"/>
            <w:tcMar>
              <w:top w:type="dxa" w:w="80"/>
              <w:left w:type="dxa" w:w="110"/>
              <w:bottom w:type="dxa" w:w="80"/>
              <w:right w:type="dxa" w:w="110"/>
            </w:tcMar>
          </w:tcPr>
          <w:p>
            <w:r>
              <w:rPr>
                <w:b w:val="false"/>
                <w:bCs w:val="false"/>
                <w:sz w:val="20"/>
                <w:szCs w:val="20"/>
              </w:rPr>
              <w:t xml:space="preserve">Information security</w:t>
            </w:r>
          </w:p>
        </w:tc>
        <w:tc>
          <w:tcPr>
            <w:tcW w:type="dxa" w:w="6260"/>
            <w:tcMar>
              <w:top w:type="dxa" w:w="80"/>
              <w:left w:type="dxa" w:w="110"/>
              <w:bottom w:type="dxa" w:w="80"/>
              <w:right w:type="dxa" w:w="110"/>
            </w:tcMar>
          </w:tcPr>
          <w:p>
            <w:r>
              <w:rPr>
                <w:b w:val="false"/>
                <w:bCs w:val="false"/>
                <w:sz w:val="20"/>
                <w:szCs w:val="20"/>
              </w:rPr>
              <w:t xml:space="preserve">No external review. Not proportionate to commission one at this stage; recorded as a conscious decision rather than an oversight.</w:t>
            </w:r>
          </w:p>
        </w:tc>
      </w:tr>
    </w:tbl>
    <w:p>
      <w:pPr>
        <w:spacing w:after="60"/>
      </w:pPr>
      <w:r>
        <w:rPr>
          <w:sz w:val="22"/>
          <w:szCs w:val="22"/>
        </w:rPr>
        <w:t xml:space="preserve"/>
      </w:r>
    </w:p>
    <w:p>
      <w:pPr>
        <w:spacing w:after="140"/>
      </w:pPr>
      <w:r>
        <w:rPr>
          <w:sz w:val="22"/>
          <w:szCs w:val="22"/>
        </w:rPr>
        <w:t xml:space="preserve">Where consultation has not happened, that is stated rather than justified. Two of these gaps — the safeguarding reviewers and the physiotherapist — have been open since July and are not moving. They are named in the master schedule as an unfilled risk and they are named here as one too.</w:t>
      </w:r>
    </w:p>
    <w:p>
      <w:pPr>
        <w:pStyle w:val="Heading1"/>
        <w:spacing w:after="160" w:before="360"/>
      </w:pPr>
      <w:r>
        <w:rPr>
          <w:b/>
          <w:bCs/>
          <w:color w:val="1F4E5F"/>
          <w:sz w:val="32"/>
          <w:szCs w:val="32"/>
        </w:rPr>
        <w:t xml:space="preserve">Step 4 — Necessity and proportionality</w:t>
      </w:r>
    </w:p>
    <w:p>
      <w:pPr>
        <w:pStyle w:val="Heading3"/>
        <w:spacing w:after="100" w:before="220"/>
      </w:pPr>
      <w:r>
        <w:rPr>
          <w:b/>
          <w:bCs/>
          <w:sz w:val="23"/>
          <w:szCs w:val="23"/>
        </w:rPr>
        <w:t xml:space="preserve">Is the processing necessary to achieve the purpose?</w:t>
      </w:r>
    </w:p>
    <w:p>
      <w:pPr>
        <w:spacing w:after="140"/>
      </w:pPr>
      <w:r>
        <w:rPr>
          <w:sz w:val="22"/>
          <w:szCs w:val="22"/>
        </w:rPr>
        <w:t xml:space="preserve">For the health data, yes, and the test is unusually clean: without knowing where someone hurts today, the app cannot avoid loading that area. The alternative is a fixed programme that ignores the body, which is the thing the product exists because it does not work. There is no less intrusive way to achieve safe personalisation than asking the person how they are.</w:t>
      </w:r>
    </w:p>
    <w:p>
      <w:pPr>
        <w:spacing w:after="140"/>
      </w:pPr>
      <w:r>
        <w:rPr>
          <w:sz w:val="22"/>
          <w:szCs w:val="22"/>
        </w:rPr>
        <w:t xml:space="preserve">For everything else the answer is narrower. Date of birth is collected only to check a threshold and nothing else is derived from it. Payment data never reaches us. Analytics are aggregate by construction, not by policy.</w:t>
      </w:r>
    </w:p>
    <w:p>
      <w:pPr>
        <w:pStyle w:val="Heading3"/>
        <w:spacing w:after="100" w:before="220"/>
      </w:pPr>
      <w:r>
        <w:rPr>
          <w:b/>
          <w:bCs/>
          <w:sz w:val="23"/>
          <w:szCs w:val="23"/>
        </w:rPr>
        <w:t xml:space="preserve">Is it proportionate?</w:t>
      </w:r>
    </w:p>
    <w:p>
      <w:pPr>
        <w:spacing w:after="140"/>
      </w:pPr>
      <w:r>
        <w:rPr>
          <w:sz w:val="22"/>
          <w:szCs w:val="22"/>
        </w:rPr>
        <w:t xml:space="preserve">The design choices below are not compliance decorations added afterwards. They were product decisions taken for their own reasons, and they happen to be exactly what proportionality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4EAEE" w:val="clear"/>
            <w:tcMar>
              <w:top w:type="dxa" w:w="80"/>
              <w:left w:type="dxa" w:w="110"/>
              <w:bottom w:type="dxa" w:w="80"/>
              <w:right w:type="dxa" w:w="110"/>
            </w:tcMar>
          </w:tcPr>
          <w:p>
            <w:r>
              <w:rPr>
                <w:b/>
                <w:bCs/>
                <w:sz w:val="20"/>
                <w:szCs w:val="20"/>
              </w:rPr>
              <w:t xml:space="preserve">Measure</w:t>
            </w:r>
          </w:p>
        </w:tc>
        <w:tc>
          <w:tcPr>
            <w:tcW w:type="dxa" w:w="5960"/>
            <w:shd w:fill="E4EAEE" w:val="clear"/>
            <w:tcMar>
              <w:top w:type="dxa" w:w="80"/>
              <w:left w:type="dxa" w:w="110"/>
              <w:bottom w:type="dxa" w:w="80"/>
              <w:right w:type="dxa" w:w="110"/>
            </w:tcMar>
          </w:tcPr>
          <w:p>
            <w:r>
              <w:rPr>
                <w:b/>
                <w:bCs/>
                <w:sz w:val="20"/>
                <w:szCs w:val="20"/>
              </w:rPr>
              <w:t xml:space="preserve">Effect</w:t>
            </w:r>
          </w:p>
        </w:tc>
      </w:tr>
      <w:tr>
        <w:trPr>
          <w:tblHeader w:val="false"/>
        </w:trPr>
        <w:tc>
          <w:tcPr>
            <w:tcW w:type="dxa" w:w="3400"/>
            <w:tcMar>
              <w:top w:type="dxa" w:w="80"/>
              <w:left w:type="dxa" w:w="110"/>
              <w:bottom w:type="dxa" w:w="80"/>
              <w:right w:type="dxa" w:w="110"/>
            </w:tcMar>
          </w:tcPr>
          <w:p>
            <w:r>
              <w:rPr>
                <w:b w:val="false"/>
                <w:bCs w:val="false"/>
                <w:sz w:val="20"/>
                <w:szCs w:val="20"/>
              </w:rPr>
              <w:t xml:space="preserve">The free tier works without health data</w:t>
            </w:r>
          </w:p>
        </w:tc>
        <w:tc>
          <w:tcPr>
            <w:tcW w:type="dxa" w:w="5960"/>
            <w:tcMar>
              <w:top w:type="dxa" w:w="80"/>
              <w:left w:type="dxa" w:w="110"/>
              <w:bottom w:type="dxa" w:w="80"/>
              <w:right w:type="dxa" w:w="110"/>
            </w:tcMar>
          </w:tcPr>
          <w:p>
            <w:r>
              <w:rPr>
                <w:b w:val="false"/>
                <w:bCs w:val="false"/>
                <w:sz w:val="20"/>
                <w:szCs w:val="20"/>
              </w:rPr>
              <w:t xml:space="preserve">Consent is genuinely optional, which is what makes it freely given. Declining costs personalisation, not access.</w:t>
            </w:r>
          </w:p>
        </w:tc>
      </w:tr>
      <w:tr>
        <w:trPr>
          <w:tblHeader w:val="false"/>
        </w:trPr>
        <w:tc>
          <w:tcPr>
            <w:tcW w:type="dxa" w:w="3400"/>
            <w:tcMar>
              <w:top w:type="dxa" w:w="80"/>
              <w:left w:type="dxa" w:w="110"/>
              <w:bottom w:type="dxa" w:w="80"/>
              <w:right w:type="dxa" w:w="110"/>
            </w:tcMar>
          </w:tcPr>
          <w:p>
            <w:r>
              <w:rPr>
                <w:b w:val="false"/>
                <w:bCs w:val="false"/>
                <w:sz w:val="20"/>
                <w:szCs w:val="20"/>
              </w:rPr>
              <w:t xml:space="preserve">Journal privacy rule — no scanning, no word-matching, no automated response, ever</w:t>
            </w:r>
          </w:p>
        </w:tc>
        <w:tc>
          <w:tcPr>
            <w:tcW w:type="dxa" w:w="5960"/>
            <w:tcMar>
              <w:top w:type="dxa" w:w="80"/>
              <w:left w:type="dxa" w:w="110"/>
              <w:bottom w:type="dxa" w:w="80"/>
              <w:right w:type="dxa" w:w="110"/>
            </w:tcMar>
          </w:tcPr>
          <w:p>
            <w:r>
              <w:rPr>
                <w:b w:val="false"/>
                <w:bCs w:val="false"/>
                <w:sz w:val="20"/>
                <w:szCs w:val="20"/>
              </w:rPr>
              <w:t xml:space="preserve">The most sensitive text in the product is never processed for any purpose beyond showing it back to its author.</w:t>
            </w:r>
          </w:p>
        </w:tc>
      </w:tr>
      <w:tr>
        <w:trPr>
          <w:tblHeader w:val="false"/>
        </w:trPr>
        <w:tc>
          <w:tcPr>
            <w:tcW w:type="dxa" w:w="3400"/>
            <w:tcMar>
              <w:top w:type="dxa" w:w="80"/>
              <w:left w:type="dxa" w:w="110"/>
              <w:bottom w:type="dxa" w:w="80"/>
              <w:right w:type="dxa" w:w="110"/>
            </w:tcMar>
          </w:tcPr>
          <w:p>
            <w:r>
              <w:rPr>
                <w:b w:val="false"/>
                <w:bCs w:val="false"/>
                <w:sz w:val="20"/>
                <w:szCs w:val="20"/>
              </w:rPr>
              <w:t xml:space="preserve">Safety content is never paywalled</w:t>
            </w:r>
          </w:p>
        </w:tc>
        <w:tc>
          <w:tcPr>
            <w:tcW w:type="dxa" w:w="5960"/>
            <w:tcMar>
              <w:top w:type="dxa" w:w="80"/>
              <w:left w:type="dxa" w:w="110"/>
              <w:bottom w:type="dxa" w:w="80"/>
              <w:right w:type="dxa" w:w="110"/>
            </w:tcMar>
          </w:tcPr>
          <w:p>
            <w:r>
              <w:rPr>
                <w:b w:val="false"/>
                <w:bCs w:val="false"/>
                <w:sz w:val="20"/>
                <w:szCs w:val="20"/>
              </w:rPr>
              <w:t xml:space="preserve">No safety-relevant information is withheld to drive an upgrade.</w:t>
            </w:r>
          </w:p>
        </w:tc>
      </w:tr>
      <w:tr>
        <w:trPr>
          <w:tblHeader w:val="false"/>
        </w:trPr>
        <w:tc>
          <w:tcPr>
            <w:tcW w:type="dxa" w:w="3400"/>
            <w:tcMar>
              <w:top w:type="dxa" w:w="80"/>
              <w:left w:type="dxa" w:w="110"/>
              <w:bottom w:type="dxa" w:w="80"/>
              <w:right w:type="dxa" w:w="110"/>
            </w:tcMar>
          </w:tcPr>
          <w:p>
            <w:r>
              <w:rPr>
                <w:b w:val="false"/>
                <w:bCs w:val="false"/>
                <w:sz w:val="20"/>
                <w:szCs w:val="20"/>
              </w:rPr>
              <w:t xml:space="preserve">P4 — the coach displays, it does not interpret</w:t>
            </w:r>
          </w:p>
        </w:tc>
        <w:tc>
          <w:tcPr>
            <w:tcW w:type="dxa" w:w="5960"/>
            <w:tcMar>
              <w:top w:type="dxa" w:w="80"/>
              <w:left w:type="dxa" w:w="110"/>
              <w:bottom w:type="dxa" w:w="80"/>
              <w:right w:type="dxa" w:w="110"/>
            </w:tcMar>
          </w:tcPr>
          <w:p>
            <w:r>
              <w:rPr>
                <w:b w:val="false"/>
                <w:bCs w:val="false"/>
                <w:sz w:val="20"/>
                <w:szCs w:val="20"/>
              </w:rPr>
              <w:t xml:space="preserve">We do not generate diagnostic or evaluative conclusions about a person from their data.</w:t>
            </w:r>
          </w:p>
        </w:tc>
      </w:tr>
      <w:tr>
        <w:trPr>
          <w:tblHeader w:val="false"/>
        </w:trPr>
        <w:tc>
          <w:tcPr>
            <w:tcW w:type="dxa" w:w="3400"/>
            <w:tcMar>
              <w:top w:type="dxa" w:w="80"/>
              <w:left w:type="dxa" w:w="110"/>
              <w:bottom w:type="dxa" w:w="80"/>
              <w:right w:type="dxa" w:w="110"/>
            </w:tcMar>
          </w:tcPr>
          <w:p>
            <w:r>
              <w:rPr>
                <w:b w:val="false"/>
                <w:bCs w:val="false"/>
                <w:sz w:val="20"/>
                <w:szCs w:val="20"/>
              </w:rPr>
              <w:t xml:space="preserve">No streaks, no comparison to other people, no gamification</w:t>
            </w:r>
          </w:p>
        </w:tc>
        <w:tc>
          <w:tcPr>
            <w:tcW w:type="dxa" w:w="5960"/>
            <w:tcMar>
              <w:top w:type="dxa" w:w="80"/>
              <w:left w:type="dxa" w:w="110"/>
              <w:bottom w:type="dxa" w:w="80"/>
              <w:right w:type="dxa" w:w="110"/>
            </w:tcMar>
          </w:tcPr>
          <w:p>
            <w:r>
              <w:rPr>
                <w:b w:val="false"/>
                <w:bCs w:val="false"/>
                <w:sz w:val="20"/>
                <w:szCs w:val="20"/>
              </w:rPr>
              <w:t xml:space="preserve">Removes the mechanisms that would create pressure to over-report or over-train, and removes any reason to process one person's data against another's.</w:t>
            </w:r>
          </w:p>
        </w:tc>
      </w:tr>
      <w:tr>
        <w:trPr>
          <w:tblHeader w:val="false"/>
        </w:trPr>
        <w:tc>
          <w:tcPr>
            <w:tcW w:type="dxa" w:w="3400"/>
            <w:tcMar>
              <w:top w:type="dxa" w:w="80"/>
              <w:left w:type="dxa" w:w="110"/>
              <w:bottom w:type="dxa" w:w="80"/>
              <w:right w:type="dxa" w:w="110"/>
            </w:tcMar>
          </w:tcPr>
          <w:p>
            <w:r>
              <w:rPr>
                <w:b w:val="false"/>
                <w:bCs w:val="false"/>
                <w:sz w:val="20"/>
                <w:szCs w:val="20"/>
              </w:rPr>
              <w:t xml:space="preserve">Weight tracking off by default, Plan only, refusal above 3 lb per week</w:t>
            </w:r>
          </w:p>
        </w:tc>
        <w:tc>
          <w:tcPr>
            <w:tcW w:type="dxa" w:w="5960"/>
            <w:tcMar>
              <w:top w:type="dxa" w:w="80"/>
              <w:left w:type="dxa" w:w="110"/>
              <w:bottom w:type="dxa" w:w="80"/>
              <w:right w:type="dxa" w:w="110"/>
            </w:tcMar>
          </w:tcPr>
          <w:p>
            <w:r>
              <w:rPr>
                <w:b w:val="false"/>
                <w:bCs w:val="false"/>
                <w:sz w:val="20"/>
                <w:szCs w:val="20"/>
              </w:rPr>
              <w:t xml:space="preserve">The most misusable data category is opt-in, and the app declines to support an unsafe target.</w:t>
            </w:r>
          </w:p>
        </w:tc>
      </w:tr>
      <w:tr>
        <w:trPr>
          <w:tblHeader w:val="false"/>
        </w:trPr>
        <w:tc>
          <w:tcPr>
            <w:tcW w:type="dxa" w:w="3400"/>
            <w:tcMar>
              <w:top w:type="dxa" w:w="80"/>
              <w:left w:type="dxa" w:w="110"/>
              <w:bottom w:type="dxa" w:w="80"/>
              <w:right w:type="dxa" w:w="110"/>
            </w:tcMar>
          </w:tcPr>
          <w:p>
            <w:r>
              <w:rPr>
                <w:b w:val="false"/>
                <w:bCs w:val="false"/>
                <w:sz w:val="20"/>
                <w:szCs w:val="20"/>
              </w:rPr>
              <w:t xml:space="preserve">Severe pain zone override to a single Gentle Care card</w:t>
            </w:r>
          </w:p>
        </w:tc>
        <w:tc>
          <w:tcPr>
            <w:tcW w:type="dxa" w:w="5960"/>
            <w:tcMar>
              <w:top w:type="dxa" w:w="80"/>
              <w:left w:type="dxa" w:w="110"/>
              <w:bottom w:type="dxa" w:w="80"/>
              <w:right w:type="dxa" w:w="110"/>
            </w:tcMar>
          </w:tcPr>
          <w:p>
            <w:r>
              <w:rPr>
                <w:b w:val="false"/>
                <w:bCs w:val="false"/>
                <w:sz w:val="20"/>
                <w:szCs w:val="20"/>
              </w:rPr>
              <w:t xml:space="preserve">Data-driven withdrawal of load, not data-driven pushing.</w:t>
            </w:r>
          </w:p>
        </w:tc>
      </w:tr>
      <w:tr>
        <w:trPr>
          <w:tblHeader w:val="false"/>
        </w:trPr>
        <w:tc>
          <w:tcPr>
            <w:tcW w:type="dxa" w:w="3400"/>
            <w:tcMar>
              <w:top w:type="dxa" w:w="80"/>
              <w:left w:type="dxa" w:w="110"/>
              <w:bottom w:type="dxa" w:w="80"/>
              <w:right w:type="dxa" w:w="110"/>
            </w:tcMar>
          </w:tcPr>
          <w:p>
            <w:r>
              <w:rPr>
                <w:b w:val="false"/>
                <w:bCs w:val="false"/>
                <w:sz w:val="20"/>
                <w:szCs w:val="20"/>
              </w:rPr>
              <w:t xml:space="preserve">Sentry configured to scrub health terms before transmission</w:t>
            </w:r>
          </w:p>
        </w:tc>
        <w:tc>
          <w:tcPr>
            <w:tcW w:type="dxa" w:w="5960"/>
            <w:tcMar>
              <w:top w:type="dxa" w:w="80"/>
              <w:left w:type="dxa" w:w="110"/>
              <w:bottom w:type="dxa" w:w="80"/>
              <w:right w:type="dxa" w:w="110"/>
            </w:tcMar>
          </w:tcPr>
          <w:p>
            <w:r>
              <w:rPr>
                <w:b w:val="false"/>
                <w:bCs w:val="false"/>
                <w:sz w:val="20"/>
                <w:szCs w:val="20"/>
              </w:rPr>
              <w:t xml:space="preserve">Health data is designed not to leave the device through the telemetry path at all.</w:t>
            </w:r>
          </w:p>
        </w:tc>
      </w:tr>
      <w:tr>
        <w:trPr>
          <w:tblHeader w:val="false"/>
        </w:trPr>
        <w:tc>
          <w:tcPr>
            <w:tcW w:type="dxa" w:w="3400"/>
            <w:tcMar>
              <w:top w:type="dxa" w:w="80"/>
              <w:left w:type="dxa" w:w="110"/>
              <w:bottom w:type="dxa" w:w="80"/>
              <w:right w:type="dxa" w:w="110"/>
            </w:tcMar>
          </w:tcPr>
          <w:p>
            <w:r>
              <w:rPr>
                <w:b w:val="false"/>
                <w:bCs w:val="false"/>
                <w:sz w:val="20"/>
                <w:szCs w:val="20"/>
              </w:rPr>
              <w:t xml:space="preserve">EU and UK hosting chosen wherever available</w:t>
            </w:r>
          </w:p>
        </w:tc>
        <w:tc>
          <w:tcPr>
            <w:tcW w:type="dxa" w:w="5960"/>
            <w:tcMar>
              <w:top w:type="dxa" w:w="80"/>
              <w:left w:type="dxa" w:w="110"/>
              <w:bottom w:type="dxa" w:w="80"/>
              <w:right w:type="dxa" w:w="110"/>
            </w:tcMar>
          </w:tcPr>
          <w:p>
            <w:r>
              <w:rPr>
                <w:b w:val="false"/>
                <w:bCs w:val="false"/>
                <w:sz w:val="20"/>
                <w:szCs w:val="20"/>
              </w:rPr>
              <w:t xml:space="preserve">Minimises transfer exposure by default rather than by contract.</w:t>
            </w:r>
          </w:p>
        </w:tc>
      </w:tr>
    </w:tbl>
    <w:p>
      <w:pPr>
        <w:spacing w:after="60"/>
      </w:pPr>
      <w:r>
        <w:rPr>
          <w:sz w:val="22"/>
          <w:szCs w:val="22"/>
        </w:rPr>
        <w:t xml:space="preserve"/>
      </w:r>
    </w:p>
    <w:p>
      <w:pPr>
        <w:spacing w:after="140"/>
      </w:pPr>
      <w:r>
        <w:rPr>
          <w:sz w:val="22"/>
          <w:szCs w:val="22"/>
        </w:rPr>
        <w:t xml:space="preserve">Data minimisation is genuinely tested by two things and both should be re-examined rather than assumed: the derived burnout patterns, which create health inferences the person did not knowingly provide; and the retention of full check-in history indefinitely while an account is active, which is longer than most of the coaching logic actually needs.</w:t>
      </w:r>
    </w:p>
    <w:p>
      <w:pPr>
        <w:pStyle w:val="Heading3"/>
        <w:spacing w:after="100" w:before="220"/>
      </w:pPr>
      <w:r>
        <w:rPr>
          <w:b/>
          <w:bCs/>
          <w:sz w:val="23"/>
          <w:szCs w:val="23"/>
        </w:rPr>
        <w:t xml:space="preserve">Lawful basis</w:t>
      </w:r>
    </w:p>
    <w:p>
      <w:pPr>
        <w:spacing w:after="140"/>
      </w:pPr>
      <w:r>
        <w:rPr>
          <w:sz w:val="22"/>
          <w:szCs w:val="22"/>
        </w:rPr>
        <w:t xml:space="preserve">Set out in full in the privacy policy. In summary: contract for account and payment; consent under Article 6(1)(a) with explicit consent under Article 9(2)(a) for all health data; legitimate interests for error monitoring, aggregate analytics and the age check. Both an Article 6 basis and a separate Article 9 condition are required and both are named (</w:t>
      </w:r>
      <w:hyperlink w:history="1" r:id="rIdlogpwlco9_rjfuh8l4jaf">
        <w:r>
          <w:rPr>
            <w:rStyle w:val="Hyperlink"/>
            <w:sz w:val="22"/>
            <w:szCs w:val="22"/>
          </w:rPr>
          <w:t xml:space="preserve">ICO, rules on special category data</w:t>
        </w:r>
      </w:hyperlink>
      <w:r>
        <w:rPr>
          <w:sz w:val="22"/>
          <w:szCs w:val="22"/>
        </w:rPr>
        <w:t xml:space="preserve">). No Schedule 1 appropriate policy document is required, because Article 9(2)(a) explicit consent does not need one.</w:t>
      </w:r>
    </w:p>
    <w:p>
      <w:pPr>
        <w:pStyle w:val="Heading1"/>
        <w:spacing w:after="160" w:before="360"/>
      </w:pPr>
      <w:r>
        <w:rPr>
          <w:b/>
          <w:bCs/>
          <w:color w:val="1F4E5F"/>
          <w:sz w:val="32"/>
          <w:szCs w:val="32"/>
        </w:rPr>
        <w:t xml:space="preserve">Step 5 — Risks</w:t>
      </w:r>
    </w:p>
    <w:p>
      <w:pPr>
        <w:spacing w:after="140"/>
      </w:pPr>
      <w:r>
        <w:rPr>
          <w:sz w:val="22"/>
          <w:szCs w:val="22"/>
        </w:rPr>
        <w:t xml:space="preserve">Scored before mitigation. Likelihood and severity are each Low, Medium or High; overall risk is the higher of the two, weighted toward severity where the harm is physical or where recovery is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300"/>
        <w:gridCol w:w="1300"/>
        <w:gridCol w:w="1200"/>
        <w:gridCol w:w="1560"/>
      </w:tblGrid>
      <w:tr>
        <w:trPr>
          <w:tblHeader/>
        </w:trPr>
        <w:tc>
          <w:tcPr>
            <w:tcW w:type="dxa" w:w="700"/>
            <w:shd w:fill="E4EAEE" w:val="clear"/>
            <w:tcMar>
              <w:top w:type="dxa" w:w="80"/>
              <w:left w:type="dxa" w:w="110"/>
              <w:bottom w:type="dxa" w:w="80"/>
              <w:right w:type="dxa" w:w="110"/>
            </w:tcMar>
          </w:tcPr>
          <w:p>
            <w:r>
              <w:rPr>
                <w:b/>
                <w:bCs/>
                <w:sz w:val="20"/>
                <w:szCs w:val="20"/>
              </w:rPr>
              <w:t xml:space="preserve">ID</w:t>
            </w:r>
          </w:p>
        </w:tc>
        <w:tc>
          <w:tcPr>
            <w:tcW w:type="dxa" w:w="3300"/>
            <w:shd w:fill="E4EAEE" w:val="clear"/>
            <w:tcMar>
              <w:top w:type="dxa" w:w="80"/>
              <w:left w:type="dxa" w:w="110"/>
              <w:bottom w:type="dxa" w:w="80"/>
              <w:right w:type="dxa" w:w="110"/>
            </w:tcMar>
          </w:tcPr>
          <w:p>
            <w:r>
              <w:rPr>
                <w:b/>
                <w:bCs/>
                <w:sz w:val="20"/>
                <w:szCs w:val="20"/>
              </w:rPr>
              <w:t xml:space="preserve">Risk</w:t>
            </w:r>
          </w:p>
        </w:tc>
        <w:tc>
          <w:tcPr>
            <w:tcW w:type="dxa" w:w="1300"/>
            <w:shd w:fill="E4EAEE" w:val="clear"/>
            <w:tcMar>
              <w:top w:type="dxa" w:w="80"/>
              <w:left w:type="dxa" w:w="110"/>
              <w:bottom w:type="dxa" w:w="80"/>
              <w:right w:type="dxa" w:w="110"/>
            </w:tcMar>
          </w:tcPr>
          <w:p>
            <w:r>
              <w:rPr>
                <w:b/>
                <w:bCs/>
                <w:sz w:val="20"/>
                <w:szCs w:val="20"/>
              </w:rPr>
              <w:t xml:space="preserve">Likelihood</w:t>
            </w:r>
          </w:p>
        </w:tc>
        <w:tc>
          <w:tcPr>
            <w:tcW w:type="dxa" w:w="1300"/>
            <w:shd w:fill="E4EAEE" w:val="clear"/>
            <w:tcMar>
              <w:top w:type="dxa" w:w="80"/>
              <w:left w:type="dxa" w:w="110"/>
              <w:bottom w:type="dxa" w:w="80"/>
              <w:right w:type="dxa" w:w="110"/>
            </w:tcMar>
          </w:tcPr>
          <w:p>
            <w:r>
              <w:rPr>
                <w:b/>
                <w:bCs/>
                <w:sz w:val="20"/>
                <w:szCs w:val="20"/>
              </w:rPr>
              <w:t xml:space="preserve">Severity</w:t>
            </w:r>
          </w:p>
        </w:tc>
        <w:tc>
          <w:tcPr>
            <w:tcW w:type="dxa" w:w="1200"/>
            <w:shd w:fill="E4EAEE" w:val="clear"/>
            <w:tcMar>
              <w:top w:type="dxa" w:w="80"/>
              <w:left w:type="dxa" w:w="110"/>
              <w:bottom w:type="dxa" w:w="80"/>
              <w:right w:type="dxa" w:w="110"/>
            </w:tcMar>
          </w:tcPr>
          <w:p>
            <w:r>
              <w:rPr>
                <w:b/>
                <w:bCs/>
                <w:sz w:val="20"/>
                <w:szCs w:val="20"/>
              </w:rPr>
              <w:t xml:space="preserve">Overall</w:t>
            </w:r>
          </w:p>
        </w:tc>
        <w:tc>
          <w:tcPr>
            <w:tcW w:type="dxa" w:w="1560"/>
            <w:shd w:fill="E4EAEE" w:val="clear"/>
            <w:tcMar>
              <w:top w:type="dxa" w:w="80"/>
              <w:left w:type="dxa" w:w="110"/>
              <w:bottom w:type="dxa" w:w="80"/>
              <w:right w:type="dxa" w:w="110"/>
            </w:tcMar>
          </w:tcPr>
          <w:p>
            <w:r>
              <w:rPr>
                <w:b/>
                <w:bCs/>
                <w:sz w:val="20"/>
                <w:szCs w:val="20"/>
              </w:rPr>
              <w:t xml:space="preserve">Notes</w:t>
            </w:r>
          </w:p>
        </w:tc>
      </w:tr>
      <w:tr>
        <w:trPr>
          <w:tblHeader w:val="false"/>
        </w:trPr>
        <w:tc>
          <w:tcPr>
            <w:tcW w:type="dxa" w:w="700"/>
            <w:tcMar>
              <w:top w:type="dxa" w:w="80"/>
              <w:left w:type="dxa" w:w="110"/>
              <w:bottom w:type="dxa" w:w="80"/>
              <w:right w:type="dxa" w:w="110"/>
            </w:tcMar>
          </w:tcPr>
          <w:p>
            <w:r>
              <w:rPr>
                <w:b w:val="false"/>
                <w:bCs w:val="false"/>
                <w:sz w:val="20"/>
                <w:szCs w:val="20"/>
              </w:rPr>
              <w:t xml:space="preserve">R1</w:t>
            </w:r>
          </w:p>
        </w:tc>
        <w:tc>
          <w:tcPr>
            <w:tcW w:type="dxa" w:w="3300"/>
            <w:tcMar>
              <w:top w:type="dxa" w:w="80"/>
              <w:left w:type="dxa" w:w="110"/>
              <w:bottom w:type="dxa" w:w="80"/>
              <w:right w:type="dxa" w:w="110"/>
            </w:tcMar>
          </w:tcPr>
          <w:p>
            <w:r>
              <w:rPr>
                <w:b w:val="false"/>
                <w:bCs w:val="false"/>
                <w:sz w:val="20"/>
                <w:szCs w:val="20"/>
              </w:rPr>
              <w:t xml:space="preserve">Health data exposed in a breach — conditions, mental health, cycle phase</w:t>
            </w:r>
          </w:p>
        </w:tc>
        <w:tc>
          <w:tcPr>
            <w:tcW w:type="dxa" w:w="1300"/>
            <w:tcMar>
              <w:top w:type="dxa" w:w="80"/>
              <w:left w:type="dxa" w:w="110"/>
              <w:bottom w:type="dxa" w:w="80"/>
              <w:right w:type="dxa" w:w="110"/>
            </w:tcMar>
          </w:tcPr>
          <w:p>
            <w:r>
              <w:rPr>
                <w:b w:val="false"/>
                <w:bCs w:val="false"/>
                <w:sz w:val="20"/>
                <w:szCs w:val="20"/>
              </w:rPr>
              <w:t xml:space="preserve">Low</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Outing, insurance and employment consequences. Not recoverable.</w:t>
            </w:r>
          </w:p>
        </w:tc>
      </w:tr>
      <w:tr>
        <w:trPr>
          <w:tblHeader w:val="false"/>
        </w:trPr>
        <w:tc>
          <w:tcPr>
            <w:tcW w:type="dxa" w:w="700"/>
            <w:tcMar>
              <w:top w:type="dxa" w:w="80"/>
              <w:left w:type="dxa" w:w="110"/>
              <w:bottom w:type="dxa" w:w="80"/>
              <w:right w:type="dxa" w:w="110"/>
            </w:tcMar>
          </w:tcPr>
          <w:p>
            <w:r>
              <w:rPr>
                <w:b w:val="false"/>
                <w:bCs w:val="false"/>
                <w:sz w:val="20"/>
                <w:szCs w:val="20"/>
              </w:rPr>
              <w:t xml:space="preserve">R2</w:t>
            </w:r>
          </w:p>
        </w:tc>
        <w:tc>
          <w:tcPr>
            <w:tcW w:type="dxa" w:w="3300"/>
            <w:tcMar>
              <w:top w:type="dxa" w:w="80"/>
              <w:left w:type="dxa" w:w="110"/>
              <w:bottom w:type="dxa" w:w="80"/>
              <w:right w:type="dxa" w:w="110"/>
            </w:tcMar>
          </w:tcPr>
          <w:p>
            <w:r>
              <w:rPr>
                <w:b w:val="false"/>
                <w:bCs w:val="false"/>
                <w:sz w:val="20"/>
                <w:szCs w:val="20"/>
              </w:rPr>
              <w:t xml:space="preserve">Journal free text contains a disclosure of abuse, self-harm or crisis, and sits in storage</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Two-sided: sensitive if exposed, and by design nobody sees it, so nothing follows from it.</w:t>
            </w:r>
          </w:p>
        </w:tc>
      </w:tr>
      <w:tr>
        <w:trPr>
          <w:tblHeader w:val="false"/>
        </w:trPr>
        <w:tc>
          <w:tcPr>
            <w:tcW w:type="dxa" w:w="700"/>
            <w:tcMar>
              <w:top w:type="dxa" w:w="80"/>
              <w:left w:type="dxa" w:w="110"/>
              <w:bottom w:type="dxa" w:w="80"/>
              <w:right w:type="dxa" w:w="110"/>
            </w:tcMar>
          </w:tcPr>
          <w:p>
            <w:r>
              <w:rPr>
                <w:b w:val="false"/>
                <w:bCs w:val="false"/>
                <w:sz w:val="20"/>
                <w:szCs w:val="20"/>
              </w:rPr>
              <w:t xml:space="preserve">R3</w:t>
            </w:r>
          </w:p>
        </w:tc>
        <w:tc>
          <w:tcPr>
            <w:tcW w:type="dxa" w:w="3300"/>
            <w:tcMar>
              <w:top w:type="dxa" w:w="80"/>
              <w:left w:type="dxa" w:w="110"/>
              <w:bottom w:type="dxa" w:w="80"/>
              <w:right w:type="dxa" w:w="110"/>
            </w:tcMar>
          </w:tcPr>
          <w:p>
            <w:r>
              <w:rPr>
                <w:b w:val="false"/>
                <w:bCs w:val="false"/>
                <w:sz w:val="20"/>
                <w:szCs w:val="20"/>
              </w:rPr>
              <w:t xml:space="preserve">A person under 18 uses the service by self-declaring an older age</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Self-declaration is not effective age assurance. See R3 note below.</w:t>
            </w:r>
          </w:p>
        </w:tc>
      </w:tr>
      <w:tr>
        <w:trPr>
          <w:tblHeader w:val="false"/>
        </w:trPr>
        <w:tc>
          <w:tcPr>
            <w:tcW w:type="dxa" w:w="700"/>
            <w:tcMar>
              <w:top w:type="dxa" w:w="80"/>
              <w:left w:type="dxa" w:w="110"/>
              <w:bottom w:type="dxa" w:w="80"/>
              <w:right w:type="dxa" w:w="110"/>
            </w:tcMar>
          </w:tcPr>
          <w:p>
            <w:r>
              <w:rPr>
                <w:b w:val="false"/>
                <w:bCs w:val="false"/>
                <w:sz w:val="20"/>
                <w:szCs w:val="20"/>
              </w:rPr>
              <w:t xml:space="preserve">R4</w:t>
            </w:r>
          </w:p>
        </w:tc>
        <w:tc>
          <w:tcPr>
            <w:tcW w:type="dxa" w:w="3300"/>
            <w:tcMar>
              <w:top w:type="dxa" w:w="80"/>
              <w:left w:type="dxa" w:w="110"/>
              <w:bottom w:type="dxa" w:w="80"/>
              <w:right w:type="dxa" w:w="110"/>
            </w:tcMar>
          </w:tcPr>
          <w:p>
            <w:r>
              <w:rPr>
                <w:b w:val="false"/>
                <w:bCs w:val="false"/>
                <w:sz w:val="20"/>
                <w:szCs w:val="20"/>
              </w:rPr>
              <w:t xml:space="preserve">Unsafe movement reaches someone because a condition was not captured or was mis-entered</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Physical harm. The clearest rights-and-freedoms risk in the product.</w:t>
            </w:r>
          </w:p>
        </w:tc>
      </w:tr>
      <w:tr>
        <w:trPr>
          <w:tblHeader w:val="false"/>
        </w:trPr>
        <w:tc>
          <w:tcPr>
            <w:tcW w:type="dxa" w:w="700"/>
            <w:tcMar>
              <w:top w:type="dxa" w:w="80"/>
              <w:left w:type="dxa" w:w="110"/>
              <w:bottom w:type="dxa" w:w="80"/>
              <w:right w:type="dxa" w:w="110"/>
            </w:tcMar>
          </w:tcPr>
          <w:p>
            <w:r>
              <w:rPr>
                <w:b w:val="false"/>
                <w:bCs w:val="false"/>
                <w:sz w:val="20"/>
                <w:szCs w:val="20"/>
              </w:rPr>
              <w:t xml:space="preserve">R5</w:t>
            </w:r>
          </w:p>
        </w:tc>
        <w:tc>
          <w:tcPr>
            <w:tcW w:type="dxa" w:w="3300"/>
            <w:tcMar>
              <w:top w:type="dxa" w:w="80"/>
              <w:left w:type="dxa" w:w="110"/>
              <w:bottom w:type="dxa" w:w="80"/>
              <w:right w:type="dxa" w:w="110"/>
            </w:tcMar>
          </w:tcPr>
          <w:p>
            <w:r>
              <w:rPr>
                <w:b w:val="false"/>
                <w:bCs w:val="false"/>
                <w:sz w:val="20"/>
                <w:szCs w:val="20"/>
              </w:rPr>
              <w:t xml:space="preserve">Local storage on a shared or family device is read by someone else</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200"/>
            <w:tcMar>
              <w:top w:type="dxa" w:w="80"/>
              <w:left w:type="dxa" w:w="110"/>
              <w:bottom w:type="dxa" w:w="80"/>
              <w:right w:type="dxa" w:w="110"/>
            </w:tcMar>
          </w:tcPr>
          <w:p>
            <w:r>
              <w:rPr>
                <w:b w:val="false"/>
                <w:bCs w:val="false"/>
                <w:sz w:val="20"/>
                <w:szCs w:val="20"/>
              </w:rPr>
              <w:t xml:space="preserve">Medium</w:t>
            </w:r>
          </w:p>
        </w:tc>
        <w:tc>
          <w:tcPr>
            <w:tcW w:type="dxa" w:w="1560"/>
            <w:tcMar>
              <w:top w:type="dxa" w:w="80"/>
              <w:left w:type="dxa" w:w="110"/>
              <w:bottom w:type="dxa" w:w="80"/>
              <w:right w:type="dxa" w:w="110"/>
            </w:tcMar>
          </w:tcPr>
          <w:p>
            <w:r>
              <w:rPr>
                <w:b w:val="false"/>
                <w:bCs w:val="false"/>
                <w:sz w:val="20"/>
                <w:szCs w:val="20"/>
              </w:rPr>
              <w:t xml:space="preserve">Currently there is no server copy, so the device is the whole exposure.</w:t>
            </w:r>
          </w:p>
        </w:tc>
      </w:tr>
      <w:tr>
        <w:trPr>
          <w:tblHeader w:val="false"/>
        </w:trPr>
        <w:tc>
          <w:tcPr>
            <w:tcW w:type="dxa" w:w="700"/>
            <w:tcMar>
              <w:top w:type="dxa" w:w="80"/>
              <w:left w:type="dxa" w:w="110"/>
              <w:bottom w:type="dxa" w:w="80"/>
              <w:right w:type="dxa" w:w="110"/>
            </w:tcMar>
          </w:tcPr>
          <w:p>
            <w:r>
              <w:rPr>
                <w:b w:val="false"/>
                <w:bCs w:val="false"/>
                <w:sz w:val="20"/>
                <w:szCs w:val="20"/>
              </w:rPr>
              <w:t xml:space="preserve">R6</w:t>
            </w:r>
          </w:p>
        </w:tc>
        <w:tc>
          <w:tcPr>
            <w:tcW w:type="dxa" w:w="3300"/>
            <w:tcMar>
              <w:top w:type="dxa" w:w="80"/>
              <w:left w:type="dxa" w:w="110"/>
              <w:bottom w:type="dxa" w:w="80"/>
              <w:right w:type="dxa" w:w="110"/>
            </w:tcMar>
          </w:tcPr>
          <w:p>
            <w:r>
              <w:rPr>
                <w:b w:val="false"/>
                <w:bCs w:val="false"/>
                <w:sz w:val="20"/>
                <w:szCs w:val="20"/>
              </w:rPr>
              <w:t xml:space="preserve">Magic-link email account compromised, giving full access to health history</w:t>
            </w:r>
          </w:p>
        </w:tc>
        <w:tc>
          <w:tcPr>
            <w:tcW w:type="dxa" w:w="1300"/>
            <w:tcMar>
              <w:top w:type="dxa" w:w="80"/>
              <w:left w:type="dxa" w:w="110"/>
              <w:bottom w:type="dxa" w:w="80"/>
              <w:right w:type="dxa" w:w="110"/>
            </w:tcMar>
          </w:tcPr>
          <w:p>
            <w:r>
              <w:rPr>
                <w:b w:val="false"/>
                <w:bCs w:val="false"/>
                <w:sz w:val="20"/>
                <w:szCs w:val="20"/>
              </w:rPr>
              <w:t xml:space="preserve">Low</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Passwordless moves the risk to the inbox rather than removing it.</w:t>
            </w:r>
          </w:p>
        </w:tc>
      </w:tr>
      <w:tr>
        <w:trPr>
          <w:tblHeader w:val="false"/>
        </w:trPr>
        <w:tc>
          <w:tcPr>
            <w:tcW w:type="dxa" w:w="700"/>
            <w:tcMar>
              <w:top w:type="dxa" w:w="80"/>
              <w:left w:type="dxa" w:w="110"/>
              <w:bottom w:type="dxa" w:w="80"/>
              <w:right w:type="dxa" w:w="110"/>
            </w:tcMar>
          </w:tcPr>
          <w:p>
            <w:r>
              <w:rPr>
                <w:b w:val="false"/>
                <w:bCs w:val="false"/>
                <w:sz w:val="20"/>
                <w:szCs w:val="20"/>
              </w:rPr>
              <w:t xml:space="preserve">R7</w:t>
            </w:r>
          </w:p>
        </w:tc>
        <w:tc>
          <w:tcPr>
            <w:tcW w:type="dxa" w:w="3300"/>
            <w:tcMar>
              <w:top w:type="dxa" w:w="80"/>
              <w:left w:type="dxa" w:w="110"/>
              <w:bottom w:type="dxa" w:w="80"/>
              <w:right w:type="dxa" w:w="110"/>
            </w:tcMar>
          </w:tcPr>
          <w:p>
            <w:r>
              <w:rPr>
                <w:b w:val="false"/>
                <w:bCs w:val="false"/>
                <w:sz w:val="20"/>
                <w:szCs w:val="20"/>
              </w:rPr>
              <w:t xml:space="preserve">A processor is breached — Supabase, Sentry, Stripe, Kit</w:t>
            </w:r>
          </w:p>
        </w:tc>
        <w:tc>
          <w:tcPr>
            <w:tcW w:type="dxa" w:w="1300"/>
            <w:tcMar>
              <w:top w:type="dxa" w:w="80"/>
              <w:left w:type="dxa" w:w="110"/>
              <w:bottom w:type="dxa" w:w="80"/>
              <w:right w:type="dxa" w:w="110"/>
            </w:tcMar>
          </w:tcPr>
          <w:p>
            <w:r>
              <w:rPr>
                <w:b w:val="false"/>
                <w:bCs w:val="false"/>
                <w:sz w:val="20"/>
                <w:szCs w:val="20"/>
              </w:rPr>
              <w:t xml:space="preserve">Low</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Four DPAs are not yet executed.</w:t>
            </w:r>
          </w:p>
        </w:tc>
      </w:tr>
      <w:tr>
        <w:trPr>
          <w:tblHeader w:val="false"/>
        </w:trPr>
        <w:tc>
          <w:tcPr>
            <w:tcW w:type="dxa" w:w="700"/>
            <w:tcMar>
              <w:top w:type="dxa" w:w="80"/>
              <w:left w:type="dxa" w:w="110"/>
              <w:bottom w:type="dxa" w:w="80"/>
              <w:right w:type="dxa" w:w="110"/>
            </w:tcMar>
          </w:tcPr>
          <w:p>
            <w:r>
              <w:rPr>
                <w:b w:val="false"/>
                <w:bCs w:val="false"/>
                <w:sz w:val="20"/>
                <w:szCs w:val="20"/>
              </w:rPr>
              <w:t xml:space="preserve">R8</w:t>
            </w:r>
          </w:p>
        </w:tc>
        <w:tc>
          <w:tcPr>
            <w:tcW w:type="dxa" w:w="3300"/>
            <w:tcMar>
              <w:top w:type="dxa" w:w="80"/>
              <w:left w:type="dxa" w:w="110"/>
              <w:bottom w:type="dxa" w:w="80"/>
              <w:right w:type="dxa" w:w="110"/>
            </w:tcMar>
          </w:tcPr>
          <w:p>
            <w:r>
              <w:rPr>
                <w:b w:val="false"/>
                <w:bCs w:val="false"/>
                <w:sz w:val="20"/>
                <w:szCs w:val="20"/>
              </w:rPr>
              <w:t xml:space="preserve">Sentry scrubbing fails or is incomplete and health terms leave the device</w:t>
            </w:r>
          </w:p>
        </w:tc>
        <w:tc>
          <w:tcPr>
            <w:tcW w:type="dxa" w:w="1300"/>
            <w:tcMar>
              <w:top w:type="dxa" w:w="80"/>
              <w:left w:type="dxa" w:w="110"/>
              <w:bottom w:type="dxa" w:w="80"/>
              <w:right w:type="dxa" w:w="110"/>
            </w:tcMar>
          </w:tcPr>
          <w:p>
            <w:r>
              <w:rPr>
                <w:b w:val="false"/>
                <w:bCs w:val="false"/>
                <w:sz w:val="20"/>
                <w:szCs w:val="20"/>
              </w:rPr>
              <w:t xml:space="preserve">Low</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Mitigation depends on a configuration nobody has adversarially tested.</w:t>
            </w:r>
          </w:p>
        </w:tc>
      </w:tr>
      <w:tr>
        <w:trPr>
          <w:tblHeader w:val="false"/>
        </w:trPr>
        <w:tc>
          <w:tcPr>
            <w:tcW w:type="dxa" w:w="700"/>
            <w:tcMar>
              <w:top w:type="dxa" w:w="80"/>
              <w:left w:type="dxa" w:w="110"/>
              <w:bottom w:type="dxa" w:w="80"/>
              <w:right w:type="dxa" w:w="110"/>
            </w:tcMar>
          </w:tcPr>
          <w:p>
            <w:r>
              <w:rPr>
                <w:b w:val="false"/>
                <w:bCs w:val="false"/>
                <w:sz w:val="20"/>
                <w:szCs w:val="20"/>
              </w:rPr>
              <w:t xml:space="preserve">R9</w:t>
            </w:r>
          </w:p>
        </w:tc>
        <w:tc>
          <w:tcPr>
            <w:tcW w:type="dxa" w:w="3300"/>
            <w:tcMar>
              <w:top w:type="dxa" w:w="80"/>
              <w:left w:type="dxa" w:w="110"/>
              <w:bottom w:type="dxa" w:w="80"/>
              <w:right w:type="dxa" w:w="110"/>
            </w:tcMar>
          </w:tcPr>
          <w:p>
            <w:r>
              <w:rPr>
                <w:b w:val="false"/>
                <w:bCs w:val="false"/>
                <w:sz w:val="20"/>
                <w:szCs w:val="20"/>
              </w:rPr>
              <w:t xml:space="preserve">Cycle-phase data supports an inference about pregnancy</w:t>
            </w:r>
          </w:p>
        </w:tc>
        <w:tc>
          <w:tcPr>
            <w:tcW w:type="dxa" w:w="1300"/>
            <w:tcMar>
              <w:top w:type="dxa" w:w="80"/>
              <w:left w:type="dxa" w:w="110"/>
              <w:bottom w:type="dxa" w:w="80"/>
              <w:right w:type="dxa" w:w="110"/>
            </w:tcMar>
          </w:tcPr>
          <w:p>
            <w:r>
              <w:rPr>
                <w:b w:val="false"/>
                <w:bCs w:val="false"/>
                <w:sz w:val="20"/>
                <w:szCs w:val="20"/>
              </w:rPr>
              <w:t xml:space="preserve">Low</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Optional field, but a highly consequential inference.</w:t>
            </w:r>
          </w:p>
        </w:tc>
      </w:tr>
      <w:tr>
        <w:trPr>
          <w:tblHeader w:val="false"/>
        </w:trPr>
        <w:tc>
          <w:tcPr>
            <w:tcW w:type="dxa" w:w="700"/>
            <w:tcMar>
              <w:top w:type="dxa" w:w="80"/>
              <w:left w:type="dxa" w:w="110"/>
              <w:bottom w:type="dxa" w:w="80"/>
              <w:right w:type="dxa" w:w="110"/>
            </w:tcMar>
          </w:tcPr>
          <w:p>
            <w:r>
              <w:rPr>
                <w:b w:val="false"/>
                <w:bCs w:val="false"/>
                <w:sz w:val="20"/>
                <w:szCs w:val="20"/>
              </w:rPr>
              <w:t xml:space="preserve">R10</w:t>
            </w:r>
          </w:p>
        </w:tc>
        <w:tc>
          <w:tcPr>
            <w:tcW w:type="dxa" w:w="3300"/>
            <w:tcMar>
              <w:top w:type="dxa" w:w="80"/>
              <w:left w:type="dxa" w:w="110"/>
              <w:bottom w:type="dxa" w:w="80"/>
              <w:right w:type="dxa" w:w="110"/>
            </w:tcMar>
          </w:tcPr>
          <w:p>
            <w:r>
              <w:rPr>
                <w:b w:val="false"/>
                <w:bCs w:val="false"/>
                <w:sz w:val="20"/>
                <w:szCs w:val="20"/>
              </w:rPr>
              <w:t xml:space="preserve">Weight data reinforces disordered eating</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Extensive mitigation exists. The residual risk is not zero.</w:t>
            </w:r>
          </w:p>
        </w:tc>
      </w:tr>
      <w:tr>
        <w:trPr>
          <w:tblHeader w:val="false"/>
        </w:trPr>
        <w:tc>
          <w:tcPr>
            <w:tcW w:type="dxa" w:w="700"/>
            <w:tcMar>
              <w:top w:type="dxa" w:w="80"/>
              <w:left w:type="dxa" w:w="110"/>
              <w:bottom w:type="dxa" w:w="80"/>
              <w:right w:type="dxa" w:w="110"/>
            </w:tcMar>
          </w:tcPr>
          <w:p>
            <w:r>
              <w:rPr>
                <w:b w:val="false"/>
                <w:bCs w:val="false"/>
                <w:sz w:val="20"/>
                <w:szCs w:val="20"/>
              </w:rPr>
              <w:t xml:space="preserve">R11</w:t>
            </w:r>
          </w:p>
        </w:tc>
        <w:tc>
          <w:tcPr>
            <w:tcW w:type="dxa" w:w="3300"/>
            <w:tcMar>
              <w:top w:type="dxa" w:w="80"/>
              <w:left w:type="dxa" w:w="110"/>
              <w:bottom w:type="dxa" w:w="80"/>
              <w:right w:type="dxa" w:w="110"/>
            </w:tcMar>
          </w:tcPr>
          <w:p>
            <w:r>
              <w:rPr>
                <w:b w:val="false"/>
                <w:bCs w:val="false"/>
                <w:sz w:val="20"/>
                <w:szCs w:val="20"/>
              </w:rPr>
              <w:t xml:space="preserve">Derived burnout patterns constitute health data the person did not knowingly give</w:t>
            </w:r>
          </w:p>
        </w:tc>
        <w:tc>
          <w:tcPr>
            <w:tcW w:type="dxa" w:w="1300"/>
            <w:tcMar>
              <w:top w:type="dxa" w:w="80"/>
              <w:left w:type="dxa" w:w="110"/>
              <w:bottom w:type="dxa" w:w="80"/>
              <w:right w:type="dxa" w:w="110"/>
            </w:tcMar>
          </w:tcPr>
          <w:p>
            <w:r>
              <w:rPr>
                <w:b w:val="false"/>
                <w:bCs w:val="false"/>
                <w:sz w:val="20"/>
                <w:szCs w:val="20"/>
              </w:rPr>
              <w:t xml:space="preserve">High</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Transparency risk rather than security risk. Currently under-explained.</w:t>
            </w:r>
          </w:p>
        </w:tc>
      </w:tr>
      <w:tr>
        <w:trPr>
          <w:tblHeader w:val="false"/>
        </w:trPr>
        <w:tc>
          <w:tcPr>
            <w:tcW w:type="dxa" w:w="700"/>
            <w:tcMar>
              <w:top w:type="dxa" w:w="80"/>
              <w:left w:type="dxa" w:w="110"/>
              <w:bottom w:type="dxa" w:w="80"/>
              <w:right w:type="dxa" w:w="110"/>
            </w:tcMar>
          </w:tcPr>
          <w:p>
            <w:r>
              <w:rPr>
                <w:b w:val="false"/>
                <w:bCs w:val="false"/>
                <w:sz w:val="20"/>
                <w:szCs w:val="20"/>
              </w:rPr>
              <w:t xml:space="preserve">R12</w:t>
            </w:r>
          </w:p>
        </w:tc>
        <w:tc>
          <w:tcPr>
            <w:tcW w:type="dxa" w:w="3300"/>
            <w:tcMar>
              <w:top w:type="dxa" w:w="80"/>
              <w:left w:type="dxa" w:w="110"/>
              <w:bottom w:type="dxa" w:w="80"/>
              <w:right w:type="dxa" w:w="110"/>
            </w:tcMar>
          </w:tcPr>
          <w:p>
            <w:r>
              <w:rPr>
                <w:b w:val="false"/>
                <w:bCs w:val="false"/>
                <w:sz w:val="20"/>
                <w:szCs w:val="20"/>
              </w:rPr>
              <w:t xml:space="preserve">A single-person business cannot meet a 72-hour breach clock or a one-month SAR during illness or absence</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No separation of duties, no cover. Structural.</w:t>
            </w:r>
          </w:p>
        </w:tc>
      </w:tr>
      <w:tr>
        <w:trPr>
          <w:tblHeader w:val="false"/>
        </w:trPr>
        <w:tc>
          <w:tcPr>
            <w:tcW w:type="dxa" w:w="700"/>
            <w:tcMar>
              <w:top w:type="dxa" w:w="80"/>
              <w:left w:type="dxa" w:w="110"/>
              <w:bottom w:type="dxa" w:w="80"/>
              <w:right w:type="dxa" w:w="110"/>
            </w:tcMar>
          </w:tcPr>
          <w:p>
            <w:r>
              <w:rPr>
                <w:b w:val="false"/>
                <w:bCs w:val="false"/>
                <w:sz w:val="20"/>
                <w:szCs w:val="20"/>
              </w:rPr>
              <w:t xml:space="preserve">R13</w:t>
            </w:r>
          </w:p>
        </w:tc>
        <w:tc>
          <w:tcPr>
            <w:tcW w:type="dxa" w:w="3300"/>
            <w:tcMar>
              <w:top w:type="dxa" w:w="80"/>
              <w:left w:type="dxa" w:w="110"/>
              <w:bottom w:type="dxa" w:w="80"/>
              <w:right w:type="dxa" w:w="110"/>
            </w:tcMar>
          </w:tcPr>
          <w:p>
            <w:r>
              <w:rPr>
                <w:b w:val="false"/>
                <w:bCs w:val="false"/>
                <w:sz w:val="20"/>
                <w:szCs w:val="20"/>
              </w:rPr>
              <w:t xml:space="preserve">Retention drift — check-in history kept indefinitely because nothing deletes it</w:t>
            </w:r>
          </w:p>
        </w:tc>
        <w:tc>
          <w:tcPr>
            <w:tcW w:type="dxa" w:w="1300"/>
            <w:tcMar>
              <w:top w:type="dxa" w:w="80"/>
              <w:left w:type="dxa" w:w="110"/>
              <w:bottom w:type="dxa" w:w="80"/>
              <w:right w:type="dxa" w:w="110"/>
            </w:tcMar>
          </w:tcPr>
          <w:p>
            <w:r>
              <w:rPr>
                <w:b w:val="false"/>
                <w:bCs w:val="false"/>
                <w:sz w:val="20"/>
                <w:szCs w:val="20"/>
              </w:rPr>
              <w:t xml:space="preserve">High</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No automated deletion exists today.</w:t>
            </w:r>
          </w:p>
        </w:tc>
      </w:tr>
      <w:tr>
        <w:trPr>
          <w:tblHeader w:val="false"/>
        </w:trPr>
        <w:tc>
          <w:tcPr>
            <w:tcW w:type="dxa" w:w="700"/>
            <w:tcMar>
              <w:top w:type="dxa" w:w="80"/>
              <w:left w:type="dxa" w:w="110"/>
              <w:bottom w:type="dxa" w:w="80"/>
              <w:right w:type="dxa" w:w="110"/>
            </w:tcMar>
          </w:tcPr>
          <w:p>
            <w:r>
              <w:rPr>
                <w:b w:val="false"/>
                <w:bCs w:val="false"/>
                <w:sz w:val="20"/>
                <w:szCs w:val="20"/>
              </w:rPr>
              <w:t xml:space="preserve">R14</w:t>
            </w:r>
          </w:p>
        </w:tc>
        <w:tc>
          <w:tcPr>
            <w:tcW w:type="dxa" w:w="3300"/>
            <w:tcMar>
              <w:top w:type="dxa" w:w="80"/>
              <w:left w:type="dxa" w:w="110"/>
              <w:bottom w:type="dxa" w:w="80"/>
              <w:right w:type="dxa" w:w="110"/>
            </w:tcMar>
          </w:tcPr>
          <w:p>
            <w:r>
              <w:rPr>
                <w:b w:val="false"/>
                <w:bCs w:val="false"/>
                <w:sz w:val="20"/>
                <w:szCs w:val="20"/>
              </w:rPr>
              <w:t xml:space="preserve">Referring organisation infers that a named individual is using the app via a taster code</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300"/>
            <w:tcMar>
              <w:top w:type="dxa" w:w="80"/>
              <w:left w:type="dxa" w:w="110"/>
              <w:bottom w:type="dxa" w:w="80"/>
              <w:right w:type="dxa" w:w="110"/>
            </w:tcMar>
          </w:tcPr>
          <w:p>
            <w:r>
              <w:rPr>
                <w:b w:val="false"/>
                <w:bCs w:val="false"/>
                <w:sz w:val="20"/>
                <w:szCs w:val="20"/>
              </w:rPr>
              <w:t xml:space="preserve">Medium</w:t>
            </w:r>
          </w:p>
        </w:tc>
        <w:tc>
          <w:tcPr>
            <w:tcW w:type="dxa" w:w="1200"/>
            <w:tcMar>
              <w:top w:type="dxa" w:w="80"/>
              <w:left w:type="dxa" w:w="110"/>
              <w:bottom w:type="dxa" w:w="80"/>
              <w:right w:type="dxa" w:w="110"/>
            </w:tcMar>
          </w:tcPr>
          <w:p>
            <w:r>
              <w:rPr>
                <w:b w:val="false"/>
                <w:bCs w:val="false"/>
                <w:sz w:val="20"/>
                <w:szCs w:val="20"/>
              </w:rPr>
              <w:t xml:space="preserve">Medium</w:t>
            </w:r>
          </w:p>
        </w:tc>
        <w:tc>
          <w:tcPr>
            <w:tcW w:type="dxa" w:w="1560"/>
            <w:tcMar>
              <w:top w:type="dxa" w:w="80"/>
              <w:left w:type="dxa" w:w="110"/>
              <w:bottom w:type="dxa" w:w="80"/>
              <w:right w:type="dxa" w:w="110"/>
            </w:tcMar>
          </w:tcPr>
          <w:p>
            <w:r>
              <w:rPr>
                <w:b w:val="false"/>
                <w:bCs w:val="false"/>
                <w:sz w:val="20"/>
                <w:szCs w:val="20"/>
              </w:rPr>
              <w:t xml:space="preserve">Created by the acquisition model, not the app.</w:t>
            </w:r>
          </w:p>
        </w:tc>
      </w:tr>
      <w:tr>
        <w:trPr>
          <w:tblHeader w:val="false"/>
        </w:trPr>
        <w:tc>
          <w:tcPr>
            <w:tcW w:type="dxa" w:w="700"/>
            <w:tcMar>
              <w:top w:type="dxa" w:w="80"/>
              <w:left w:type="dxa" w:w="110"/>
              <w:bottom w:type="dxa" w:w="80"/>
              <w:right w:type="dxa" w:w="110"/>
            </w:tcMar>
          </w:tcPr>
          <w:p>
            <w:r>
              <w:rPr>
                <w:b w:val="false"/>
                <w:bCs w:val="false"/>
                <w:sz w:val="20"/>
                <w:szCs w:val="20"/>
              </w:rPr>
              <w:t xml:space="preserve">R15</w:t>
            </w:r>
          </w:p>
        </w:tc>
        <w:tc>
          <w:tcPr>
            <w:tcW w:type="dxa" w:w="3300"/>
            <w:tcMar>
              <w:top w:type="dxa" w:w="80"/>
              <w:left w:type="dxa" w:w="110"/>
              <w:bottom w:type="dxa" w:w="80"/>
              <w:right w:type="dxa" w:w="110"/>
            </w:tcMar>
          </w:tcPr>
          <w:p>
            <w:r>
              <w:rPr>
                <w:b w:val="false"/>
                <w:bCs w:val="false"/>
                <w:sz w:val="20"/>
                <w:szCs w:val="20"/>
              </w:rPr>
              <w:t xml:space="preserve">Marketing list and health data become linked</w:t>
            </w:r>
          </w:p>
        </w:tc>
        <w:tc>
          <w:tcPr>
            <w:tcW w:type="dxa" w:w="1300"/>
            <w:tcMar>
              <w:top w:type="dxa" w:w="80"/>
              <w:left w:type="dxa" w:w="110"/>
              <w:bottom w:type="dxa" w:w="80"/>
              <w:right w:type="dxa" w:w="110"/>
            </w:tcMar>
          </w:tcPr>
          <w:p>
            <w:r>
              <w:rPr>
                <w:b w:val="false"/>
                <w:bCs w:val="false"/>
                <w:sz w:val="20"/>
                <w:szCs w:val="20"/>
              </w:rPr>
              <w:t xml:space="preserve">Low</w:t>
            </w:r>
          </w:p>
        </w:tc>
        <w:tc>
          <w:tcPr>
            <w:tcW w:type="dxa" w:w="1300"/>
            <w:tcMar>
              <w:top w:type="dxa" w:w="80"/>
              <w:left w:type="dxa" w:w="110"/>
              <w:bottom w:type="dxa" w:w="80"/>
              <w:right w:type="dxa" w:w="110"/>
            </w:tcMar>
          </w:tcPr>
          <w:p>
            <w:r>
              <w:rPr>
                <w:b w:val="false"/>
                <w:bCs w:val="false"/>
                <w:sz w:val="20"/>
                <w:szCs w:val="20"/>
              </w:rPr>
              <w:t xml:space="preserve">High</w:t>
            </w:r>
          </w:p>
        </w:tc>
        <w:tc>
          <w:tcPr>
            <w:tcW w:type="dxa" w:w="1200"/>
            <w:tcMar>
              <w:top w:type="dxa" w:w="80"/>
              <w:left w:type="dxa" w:w="110"/>
              <w:bottom w:type="dxa" w:w="80"/>
              <w:right w:type="dxa" w:w="110"/>
            </w:tcMar>
          </w:tcPr>
          <w:p>
            <w:r>
              <w:rPr>
                <w:b w:val="false"/>
                <w:bCs w:val="false"/>
                <w:sz w:val="20"/>
                <w:szCs w:val="20"/>
              </w:rPr>
              <w:t xml:space="preserve">High</w:t>
            </w:r>
          </w:p>
        </w:tc>
        <w:tc>
          <w:tcPr>
            <w:tcW w:type="dxa" w:w="1560"/>
            <w:tcMar>
              <w:top w:type="dxa" w:w="80"/>
              <w:left w:type="dxa" w:w="110"/>
              <w:bottom w:type="dxa" w:w="80"/>
              <w:right w:type="dxa" w:w="110"/>
            </w:tcMar>
          </w:tcPr>
          <w:p>
            <w:r>
              <w:rPr>
                <w:b w:val="false"/>
                <w:bCs w:val="false"/>
                <w:sz w:val="20"/>
                <w:szCs w:val="20"/>
              </w:rPr>
              <w:t xml:space="preserve">Currently separated by architecture. Would need to stay separated through the Supabase migration.</w:t>
            </w:r>
          </w:p>
        </w:tc>
      </w:tr>
    </w:tbl>
    <w:p>
      <w:pPr>
        <w:spacing w:after="60"/>
      </w:pPr>
      <w:r>
        <w:rPr>
          <w:sz w:val="22"/>
          <w:szCs w:val="22"/>
        </w:rPr>
        <w:t xml:space="preserve"/>
      </w:r>
    </w:p>
    <w:p>
      <w:pPr>
        <w:pStyle w:val="Heading3"/>
        <w:spacing w:after="100" w:before="220"/>
      </w:pPr>
      <w:r>
        <w:rPr>
          <w:b/>
          <w:bCs/>
          <w:sz w:val="23"/>
          <w:szCs w:val="23"/>
        </w:rPr>
        <w:t xml:space="preserve">Note on R3</w:t>
      </w:r>
    </w:p>
    <w:p>
      <w:pPr>
        <w:spacing w:after="140"/>
      </w:pPr>
      <w:r>
        <w:rPr>
          <w:sz w:val="22"/>
          <w:szCs w:val="22"/>
        </w:rPr>
        <w:t xml:space="preserve">The decision recorded on 15 August was to launch 18+, on the basis that this removes Children's Code obligations. That reasoning needs stating carefully, because the ICO's position is that the Code applies to services likely to be accessed by children whether or not they are aimed at children, and that self-declaration alone is unlikely to be effective age assurance (</w:t>
      </w:r>
      <w:hyperlink w:history="1" r:id="rIdntnqpan4z4m2nqowjlkkk">
        <w:r>
          <w:rPr>
            <w:rStyle w:val="Hyperlink"/>
            <w:sz w:val="22"/>
            <w:szCs w:val="22"/>
          </w:rPr>
          <w:t xml:space="preserve">ICO, age assurance for the Children's code</w:t>
        </w:r>
      </w:hyperlink>
      <w:r>
        <w:rPr>
          <w:sz w:val="22"/>
          <w:szCs w:val="22"/>
        </w:rPr>
        <w:t xml:space="preserve">). Declaring 18+ does not, by itself, remove the obligation. What removes it is a documented access assessment concluding that children are not likely to access the service, kept under review — or effective age assurance. Neither exists yet. This is the single largest open item in this DPIA.</w:t>
      </w:r>
    </w:p>
    <w:p>
      <w:pPr>
        <w:pStyle w:val="Heading1"/>
        <w:spacing w:after="160" w:before="360"/>
      </w:pPr>
      <w:r>
        <w:rPr>
          <w:b/>
          <w:bCs/>
          <w:color w:val="1F4E5F"/>
          <w:sz w:val="32"/>
          <w:szCs w:val="32"/>
        </w:rPr>
        <w:t xml:space="preserve">Step 6 — Measures to reduce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200"/>
        <w:gridCol w:w="2260"/>
      </w:tblGrid>
      <w:tr>
        <w:trPr>
          <w:tblHeader/>
        </w:trPr>
        <w:tc>
          <w:tcPr>
            <w:tcW w:type="dxa" w:w="700"/>
            <w:shd w:fill="E4EAEE" w:val="clear"/>
            <w:tcMar>
              <w:top w:type="dxa" w:w="80"/>
              <w:left w:type="dxa" w:w="110"/>
              <w:bottom w:type="dxa" w:w="80"/>
              <w:right w:type="dxa" w:w="110"/>
            </w:tcMar>
          </w:tcPr>
          <w:p>
            <w:r>
              <w:rPr>
                <w:b/>
                <w:bCs/>
                <w:sz w:val="20"/>
                <w:szCs w:val="20"/>
              </w:rPr>
              <w:t xml:space="preserve">ID</w:t>
            </w:r>
          </w:p>
        </w:tc>
        <w:tc>
          <w:tcPr>
            <w:tcW w:type="dxa" w:w="4200"/>
            <w:shd w:fill="E4EAEE" w:val="clear"/>
            <w:tcMar>
              <w:top w:type="dxa" w:w="80"/>
              <w:left w:type="dxa" w:w="110"/>
              <w:bottom w:type="dxa" w:w="80"/>
              <w:right w:type="dxa" w:w="110"/>
            </w:tcMar>
          </w:tcPr>
          <w:p>
            <w:r>
              <w:rPr>
                <w:b/>
                <w:bCs/>
                <w:sz w:val="20"/>
                <w:szCs w:val="20"/>
              </w:rPr>
              <w:t xml:space="preserve">Measure</w:t>
            </w:r>
          </w:p>
        </w:tc>
        <w:tc>
          <w:tcPr>
            <w:tcW w:type="dxa" w:w="2200"/>
            <w:shd w:fill="E4EAEE" w:val="clear"/>
            <w:tcMar>
              <w:top w:type="dxa" w:w="80"/>
              <w:left w:type="dxa" w:w="110"/>
              <w:bottom w:type="dxa" w:w="80"/>
              <w:right w:type="dxa" w:w="110"/>
            </w:tcMar>
          </w:tcPr>
          <w:p>
            <w:r>
              <w:rPr>
                <w:b/>
                <w:bCs/>
                <w:sz w:val="20"/>
                <w:szCs w:val="20"/>
              </w:rPr>
              <w:t xml:space="preserve">Effect on risk</w:t>
            </w:r>
          </w:p>
        </w:tc>
        <w:tc>
          <w:tcPr>
            <w:tcW w:type="dxa" w:w="2260"/>
            <w:shd w:fill="E4EAEE" w:val="clear"/>
            <w:tcMar>
              <w:top w:type="dxa" w:w="80"/>
              <w:left w:type="dxa" w:w="110"/>
              <w:bottom w:type="dxa" w:w="80"/>
              <w:right w:type="dxa" w:w="110"/>
            </w:tcMar>
          </w:tcPr>
          <w:p>
            <w:r>
              <w:rPr>
                <w:b/>
                <w:bCs/>
                <w:sz w:val="20"/>
                <w:szCs w:val="20"/>
              </w:rPr>
              <w:t xml:space="preserve">Status</w:t>
            </w:r>
          </w:p>
        </w:tc>
      </w:tr>
      <w:tr>
        <w:trPr>
          <w:tblHeader w:val="false"/>
        </w:trPr>
        <w:tc>
          <w:tcPr>
            <w:tcW w:type="dxa" w:w="700"/>
            <w:tcMar>
              <w:top w:type="dxa" w:w="80"/>
              <w:left w:type="dxa" w:w="110"/>
              <w:bottom w:type="dxa" w:w="80"/>
              <w:right w:type="dxa" w:w="110"/>
            </w:tcMar>
          </w:tcPr>
          <w:p>
            <w:r>
              <w:rPr>
                <w:b w:val="false"/>
                <w:bCs w:val="false"/>
                <w:sz w:val="20"/>
                <w:szCs w:val="20"/>
              </w:rPr>
              <w:t xml:space="preserve">R1</w:t>
            </w:r>
          </w:p>
        </w:tc>
        <w:tc>
          <w:tcPr>
            <w:tcW w:type="dxa" w:w="4200"/>
            <w:tcMar>
              <w:top w:type="dxa" w:w="80"/>
              <w:left w:type="dxa" w:w="110"/>
              <w:bottom w:type="dxa" w:w="80"/>
              <w:right w:type="dxa" w:w="110"/>
            </w:tcMar>
          </w:tcPr>
          <w:p>
            <w:r>
              <w:rPr>
                <w:b w:val="false"/>
                <w:bCs w:val="false"/>
                <w:sz w:val="20"/>
                <w:szCs w:val="20"/>
              </w:rPr>
              <w:t xml:space="preserve">EU hosting; encryption in transit and at rest; per-user row-level security; no server copy until migration</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Partly built — RLS designed, not live</w:t>
            </w:r>
          </w:p>
        </w:tc>
      </w:tr>
      <w:tr>
        <w:trPr>
          <w:tblHeader w:val="false"/>
        </w:trPr>
        <w:tc>
          <w:tcPr>
            <w:tcW w:type="dxa" w:w="700"/>
            <w:tcMar>
              <w:top w:type="dxa" w:w="80"/>
              <w:left w:type="dxa" w:w="110"/>
              <w:bottom w:type="dxa" w:w="80"/>
              <w:right w:type="dxa" w:w="110"/>
            </w:tcMar>
          </w:tcPr>
          <w:p>
            <w:r>
              <w:rPr>
                <w:b w:val="false"/>
                <w:bCs w:val="false"/>
                <w:sz w:val="20"/>
                <w:szCs w:val="20"/>
              </w:rPr>
              <w:t xml:space="preserve">R2</w:t>
            </w:r>
          </w:p>
        </w:tc>
        <w:tc>
          <w:tcPr>
            <w:tcW w:type="dxa" w:w="4200"/>
            <w:tcMar>
              <w:top w:type="dxa" w:w="80"/>
              <w:left w:type="dxa" w:w="110"/>
              <w:bottom w:type="dxa" w:w="80"/>
              <w:right w:type="dxa" w:w="110"/>
            </w:tcMar>
          </w:tcPr>
          <w:p>
            <w:r>
              <w:rPr>
                <w:b w:val="false"/>
                <w:bCs w:val="false"/>
                <w:sz w:val="20"/>
                <w:szCs w:val="20"/>
              </w:rPr>
              <w:t xml:space="preserve">Journal privacy rule enforced in code and held by a gate. Separately, static signposting on feeling-word selections gives a route to help that does not require reading anyone's journal</w:t>
            </w:r>
          </w:p>
        </w:tc>
        <w:tc>
          <w:tcPr>
            <w:tcW w:type="dxa" w:w="2200"/>
            <w:tcMar>
              <w:top w:type="dxa" w:w="80"/>
              <w:left w:type="dxa" w:w="110"/>
              <w:bottom w:type="dxa" w:w="80"/>
              <w:right w:type="dxa" w:w="110"/>
            </w:tcMar>
          </w:tcPr>
          <w:p>
            <w:r>
              <w:rPr>
                <w:b w:val="false"/>
                <w:bCs w:val="false"/>
                <w:sz w:val="20"/>
                <w:szCs w:val="20"/>
              </w:rPr>
              <w:t xml:space="preserve">Held, not reduced</w:t>
            </w:r>
          </w:p>
        </w:tc>
        <w:tc>
          <w:tcPr>
            <w:tcW w:type="dxa" w:w="2260"/>
            <w:tcMar>
              <w:top w:type="dxa" w:w="80"/>
              <w:left w:type="dxa" w:w="110"/>
              <w:bottom w:type="dxa" w:w="80"/>
              <w:right w:type="dxa" w:w="110"/>
            </w:tcMar>
          </w:tcPr>
          <w:p>
            <w:r>
              <w:rPr>
                <w:b w:val="false"/>
                <w:bCs w:val="false"/>
                <w:sz w:val="20"/>
                <w:szCs w:val="20"/>
              </w:rPr>
              <w:t xml:space="preserve">Live. Signposting live.</w:t>
            </w:r>
          </w:p>
        </w:tc>
      </w:tr>
      <w:tr>
        <w:trPr>
          <w:tblHeader w:val="false"/>
        </w:trPr>
        <w:tc>
          <w:tcPr>
            <w:tcW w:type="dxa" w:w="700"/>
            <w:tcMar>
              <w:top w:type="dxa" w:w="80"/>
              <w:left w:type="dxa" w:w="110"/>
              <w:bottom w:type="dxa" w:w="80"/>
              <w:right w:type="dxa" w:w="110"/>
            </w:tcMar>
          </w:tcPr>
          <w:p>
            <w:r>
              <w:rPr>
                <w:b w:val="false"/>
                <w:bCs w:val="false"/>
                <w:sz w:val="20"/>
                <w:szCs w:val="20"/>
              </w:rPr>
              <w:t xml:space="preserve">R2</w:t>
            </w:r>
          </w:p>
        </w:tc>
        <w:tc>
          <w:tcPr>
            <w:tcW w:type="dxa" w:w="4200"/>
            <w:tcMar>
              <w:top w:type="dxa" w:w="80"/>
              <w:left w:type="dxa" w:w="110"/>
              <w:bottom w:type="dxa" w:w="80"/>
              <w:right w:type="dxa" w:w="110"/>
            </w:tcMar>
          </w:tcPr>
          <w:p>
            <w:r>
              <w:rPr>
                <w:b w:val="false"/>
                <w:bCs w:val="false"/>
                <w:sz w:val="20"/>
                <w:szCs w:val="20"/>
              </w:rPr>
              <w:t xml:space="preserve">Safeguarding reviewers to confirm the signposting route is sufficient given nothing reads the journal</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NOT DONE — three roles open since July</w:t>
            </w:r>
          </w:p>
        </w:tc>
      </w:tr>
      <w:tr>
        <w:trPr>
          <w:tblHeader w:val="false"/>
        </w:trPr>
        <w:tc>
          <w:tcPr>
            <w:tcW w:type="dxa" w:w="700"/>
            <w:tcMar>
              <w:top w:type="dxa" w:w="80"/>
              <w:left w:type="dxa" w:w="110"/>
              <w:bottom w:type="dxa" w:w="80"/>
              <w:right w:type="dxa" w:w="110"/>
            </w:tcMar>
          </w:tcPr>
          <w:p>
            <w:r>
              <w:rPr>
                <w:b w:val="false"/>
                <w:bCs w:val="false"/>
                <w:sz w:val="20"/>
                <w:szCs w:val="20"/>
              </w:rPr>
              <w:t xml:space="preserve">R3</w:t>
            </w:r>
          </w:p>
        </w:tc>
        <w:tc>
          <w:tcPr>
            <w:tcW w:type="dxa" w:w="4200"/>
            <w:tcMar>
              <w:top w:type="dxa" w:w="80"/>
              <w:left w:type="dxa" w:w="110"/>
              <w:bottom w:type="dxa" w:w="80"/>
              <w:right w:type="dxa" w:w="110"/>
            </w:tcMar>
          </w:tcPr>
          <w:p>
            <w:r>
              <w:rPr>
                <w:b w:val="false"/>
                <w:bCs w:val="false"/>
                <w:sz w:val="20"/>
                <w:szCs w:val="20"/>
              </w:rPr>
              <w:t xml:space="preserve">Documented access assessment, or functional age assurance</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NOT DONE</w:t>
            </w:r>
          </w:p>
        </w:tc>
      </w:tr>
      <w:tr>
        <w:trPr>
          <w:tblHeader w:val="false"/>
        </w:trPr>
        <w:tc>
          <w:tcPr>
            <w:tcW w:type="dxa" w:w="700"/>
            <w:tcMar>
              <w:top w:type="dxa" w:w="80"/>
              <w:left w:type="dxa" w:w="110"/>
              <w:bottom w:type="dxa" w:w="80"/>
              <w:right w:type="dxa" w:w="110"/>
            </w:tcMar>
          </w:tcPr>
          <w:p>
            <w:r>
              <w:rPr>
                <w:b w:val="false"/>
                <w:bCs w:val="false"/>
                <w:sz w:val="20"/>
                <w:szCs w:val="20"/>
              </w:rPr>
              <w:t xml:space="preserve">R3</w:t>
            </w:r>
          </w:p>
        </w:tc>
        <w:tc>
          <w:tcPr>
            <w:tcW w:type="dxa" w:w="4200"/>
            <w:tcMar>
              <w:top w:type="dxa" w:w="80"/>
              <w:left w:type="dxa" w:w="110"/>
              <w:bottom w:type="dxa" w:w="80"/>
              <w:right w:type="dxa" w:w="110"/>
            </w:tcMar>
          </w:tcPr>
          <w:p>
            <w:r>
              <w:rPr>
                <w:b w:val="false"/>
                <w:bCs w:val="false"/>
                <w:sz w:val="20"/>
                <w:szCs w:val="20"/>
              </w:rPr>
              <w:t xml:space="preserve">Age gate is built but inert. Do not enable until the rule behind it is agreed</w:t>
            </w:r>
          </w:p>
        </w:tc>
        <w:tc>
          <w:tcPr>
            <w:tcW w:type="dxa" w:w="2200"/>
            <w:tcMar>
              <w:top w:type="dxa" w:w="80"/>
              <w:left w:type="dxa" w:w="110"/>
              <w:bottom w:type="dxa" w:w="80"/>
              <w:right w:type="dxa" w:w="110"/>
            </w:tcMar>
          </w:tcPr>
          <w:p>
            <w:r>
              <w:rPr>
                <w:b w:val="false"/>
                <w:bCs w:val="false"/>
                <w:sz w:val="20"/>
                <w:szCs w:val="20"/>
              </w:rPr>
              <w:t xml:space="preserve">Neutral</w:t>
            </w:r>
          </w:p>
        </w:tc>
        <w:tc>
          <w:tcPr>
            <w:tcW w:type="dxa" w:w="2260"/>
            <w:tcMar>
              <w:top w:type="dxa" w:w="80"/>
              <w:left w:type="dxa" w:w="110"/>
              <w:bottom w:type="dxa" w:w="80"/>
              <w:right w:type="dxa" w:w="110"/>
            </w:tcMar>
          </w:tcPr>
          <w:p>
            <w:r>
              <w:rPr>
                <w:b w:val="false"/>
                <w:bCs w:val="false"/>
                <w:sz w:val="20"/>
                <w:szCs w:val="20"/>
              </w:rPr>
              <w:t xml:space="preserve">Correct as it stands</w:t>
            </w:r>
          </w:p>
        </w:tc>
      </w:tr>
      <w:tr>
        <w:trPr>
          <w:tblHeader w:val="false"/>
        </w:trPr>
        <w:tc>
          <w:tcPr>
            <w:tcW w:type="dxa" w:w="700"/>
            <w:tcMar>
              <w:top w:type="dxa" w:w="80"/>
              <w:left w:type="dxa" w:w="110"/>
              <w:bottom w:type="dxa" w:w="80"/>
              <w:right w:type="dxa" w:w="110"/>
            </w:tcMar>
          </w:tcPr>
          <w:p>
            <w:r>
              <w:rPr>
                <w:b w:val="false"/>
                <w:bCs w:val="false"/>
                <w:sz w:val="20"/>
                <w:szCs w:val="20"/>
              </w:rPr>
              <w:t xml:space="preserve">R4</w:t>
            </w:r>
          </w:p>
        </w:tc>
        <w:tc>
          <w:tcPr>
            <w:tcW w:type="dxa" w:w="4200"/>
            <w:tcMar>
              <w:top w:type="dxa" w:w="80"/>
              <w:left w:type="dxa" w:w="110"/>
              <w:bottom w:type="dxa" w:w="80"/>
              <w:right w:type="dxa" w:w="110"/>
            </w:tcMar>
          </w:tcPr>
          <w:p>
            <w:r>
              <w:rPr>
                <w:b w:val="false"/>
                <w:bCs w:val="false"/>
                <w:sz w:val="20"/>
                <w:szCs w:val="20"/>
              </w:rPr>
              <w:t xml:space="preserve">Contraindication filtering by condition and zone; severe pain override to Gentle Care; 89 gates including verify-safeguard; reversal testing before a gate is trusted</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Live</w:t>
            </w:r>
          </w:p>
        </w:tc>
      </w:tr>
      <w:tr>
        <w:trPr>
          <w:tblHeader w:val="false"/>
        </w:trPr>
        <w:tc>
          <w:tcPr>
            <w:tcW w:type="dxa" w:w="700"/>
            <w:tcMar>
              <w:top w:type="dxa" w:w="80"/>
              <w:left w:type="dxa" w:w="110"/>
              <w:bottom w:type="dxa" w:w="80"/>
              <w:right w:type="dxa" w:w="110"/>
            </w:tcMar>
          </w:tcPr>
          <w:p>
            <w:r>
              <w:rPr>
                <w:b w:val="false"/>
                <w:bCs w:val="false"/>
                <w:sz w:val="20"/>
                <w:szCs w:val="20"/>
              </w:rPr>
              <w:t xml:space="preserve">R4</w:t>
            </w:r>
          </w:p>
        </w:tc>
        <w:tc>
          <w:tcPr>
            <w:tcW w:type="dxa" w:w="4200"/>
            <w:tcMar>
              <w:top w:type="dxa" w:w="80"/>
              <w:left w:type="dxa" w:w="110"/>
              <w:bottom w:type="dxa" w:w="80"/>
              <w:right w:type="dxa" w:w="110"/>
            </w:tcMar>
          </w:tcPr>
          <w:p>
            <w:r>
              <w:rPr>
                <w:b w:val="false"/>
                <w:bCs w:val="false"/>
                <w:sz w:val="20"/>
                <w:szCs w:val="20"/>
              </w:rPr>
              <w:t xml:space="preserve">Physiotherapist review of the exercise database and the pain bands</w:t>
            </w:r>
          </w:p>
        </w:tc>
        <w:tc>
          <w:tcPr>
            <w:tcW w:type="dxa" w:w="2200"/>
            <w:tcMar>
              <w:top w:type="dxa" w:w="80"/>
              <w:left w:type="dxa" w:w="110"/>
              <w:bottom w:type="dxa" w:w="80"/>
              <w:right w:type="dxa" w:w="110"/>
            </w:tcMar>
          </w:tcPr>
          <w:p>
            <w:r>
              <w:rPr>
                <w:b w:val="false"/>
                <w:bCs w:val="false"/>
                <w:sz w:val="20"/>
                <w:szCs w:val="20"/>
              </w:rPr>
              <w:t xml:space="preserve">Medium to Low</w:t>
            </w:r>
          </w:p>
        </w:tc>
        <w:tc>
          <w:tcPr>
            <w:tcW w:type="dxa" w:w="2260"/>
            <w:tcMar>
              <w:top w:type="dxa" w:w="80"/>
              <w:left w:type="dxa" w:w="110"/>
              <w:bottom w:type="dxa" w:w="80"/>
              <w:right w:type="dxa" w:w="110"/>
            </w:tcMar>
          </w:tcPr>
          <w:p>
            <w:r>
              <w:rPr>
                <w:b w:val="false"/>
                <w:bCs w:val="false"/>
                <w:sz w:val="20"/>
                <w:szCs w:val="20"/>
              </w:rPr>
              <w:t xml:space="preserve">NOT DONE — pack ready, reviewer not identified</w:t>
            </w:r>
          </w:p>
        </w:tc>
      </w:tr>
      <w:tr>
        <w:trPr>
          <w:tblHeader w:val="false"/>
        </w:trPr>
        <w:tc>
          <w:tcPr>
            <w:tcW w:type="dxa" w:w="700"/>
            <w:tcMar>
              <w:top w:type="dxa" w:w="80"/>
              <w:left w:type="dxa" w:w="110"/>
              <w:bottom w:type="dxa" w:w="80"/>
              <w:right w:type="dxa" w:w="110"/>
            </w:tcMar>
          </w:tcPr>
          <w:p>
            <w:r>
              <w:rPr>
                <w:b w:val="false"/>
                <w:bCs w:val="false"/>
                <w:sz w:val="20"/>
                <w:szCs w:val="20"/>
              </w:rPr>
              <w:t xml:space="preserve">R5</w:t>
            </w:r>
          </w:p>
        </w:tc>
        <w:tc>
          <w:tcPr>
            <w:tcW w:type="dxa" w:w="4200"/>
            <w:tcMar>
              <w:top w:type="dxa" w:w="80"/>
              <w:left w:type="dxa" w:w="110"/>
              <w:bottom w:type="dxa" w:w="80"/>
              <w:right w:type="dxa" w:w="110"/>
            </w:tcMar>
          </w:tcPr>
          <w:p>
            <w:r>
              <w:rPr>
                <w:b w:val="false"/>
                <w:bCs w:val="false"/>
                <w:sz w:val="20"/>
                <w:szCs w:val="20"/>
              </w:rPr>
              <w:t xml:space="preserve">In-app explanation that data lives on the device, and a clear sign-out that clears it</w:t>
            </w:r>
          </w:p>
        </w:tc>
        <w:tc>
          <w:tcPr>
            <w:tcW w:type="dxa" w:w="2200"/>
            <w:tcMar>
              <w:top w:type="dxa" w:w="80"/>
              <w:left w:type="dxa" w:w="110"/>
              <w:bottom w:type="dxa" w:w="80"/>
              <w:right w:type="dxa" w:w="110"/>
            </w:tcMar>
          </w:tcPr>
          <w:p>
            <w:r>
              <w:rPr>
                <w:b w:val="false"/>
                <w:bCs w:val="false"/>
                <w:sz w:val="20"/>
                <w:szCs w:val="20"/>
              </w:rPr>
              <w:t xml:space="preserve">Medium to Low</w:t>
            </w:r>
          </w:p>
        </w:tc>
        <w:tc>
          <w:tcPr>
            <w:tcW w:type="dxa" w:w="2260"/>
            <w:tcMar>
              <w:top w:type="dxa" w:w="80"/>
              <w:left w:type="dxa" w:w="110"/>
              <w:bottom w:type="dxa" w:w="80"/>
              <w:right w:type="dxa" w:w="110"/>
            </w:tcMar>
          </w:tcPr>
          <w:p>
            <w:r>
              <w:rPr>
                <w:b w:val="false"/>
                <w:bCs w:val="false"/>
                <w:sz w:val="20"/>
                <w:szCs w:val="20"/>
              </w:rPr>
              <w:t xml:space="preserve">TO BUILD</w:t>
            </w:r>
          </w:p>
        </w:tc>
      </w:tr>
      <w:tr>
        <w:trPr>
          <w:tblHeader w:val="false"/>
        </w:trPr>
        <w:tc>
          <w:tcPr>
            <w:tcW w:type="dxa" w:w="700"/>
            <w:tcMar>
              <w:top w:type="dxa" w:w="80"/>
              <w:left w:type="dxa" w:w="110"/>
              <w:bottom w:type="dxa" w:w="80"/>
              <w:right w:type="dxa" w:w="110"/>
            </w:tcMar>
          </w:tcPr>
          <w:p>
            <w:r>
              <w:rPr>
                <w:b w:val="false"/>
                <w:bCs w:val="false"/>
                <w:sz w:val="20"/>
                <w:szCs w:val="20"/>
              </w:rPr>
              <w:t xml:space="preserve">R6</w:t>
            </w:r>
          </w:p>
        </w:tc>
        <w:tc>
          <w:tcPr>
            <w:tcW w:type="dxa" w:w="4200"/>
            <w:tcMar>
              <w:top w:type="dxa" w:w="80"/>
              <w:left w:type="dxa" w:w="110"/>
              <w:bottom w:type="dxa" w:w="80"/>
              <w:right w:type="dxa" w:w="110"/>
            </w:tcMar>
          </w:tcPr>
          <w:p>
            <w:r>
              <w:rPr>
                <w:b w:val="false"/>
                <w:bCs w:val="false"/>
                <w:sz w:val="20"/>
                <w:szCs w:val="20"/>
              </w:rPr>
              <w:t xml:space="preserve">Short-lived magic links, single use; guidance on securing the email account</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Partly — guidance not written</w:t>
            </w:r>
          </w:p>
        </w:tc>
      </w:tr>
      <w:tr>
        <w:trPr>
          <w:tblHeader w:val="false"/>
        </w:trPr>
        <w:tc>
          <w:tcPr>
            <w:tcW w:type="dxa" w:w="700"/>
            <w:tcMar>
              <w:top w:type="dxa" w:w="80"/>
              <w:left w:type="dxa" w:w="110"/>
              <w:bottom w:type="dxa" w:w="80"/>
              <w:right w:type="dxa" w:w="110"/>
            </w:tcMar>
          </w:tcPr>
          <w:p>
            <w:r>
              <w:rPr>
                <w:b w:val="false"/>
                <w:bCs w:val="false"/>
                <w:sz w:val="20"/>
                <w:szCs w:val="20"/>
              </w:rPr>
              <w:t xml:space="preserve">R7</w:t>
            </w:r>
          </w:p>
        </w:tc>
        <w:tc>
          <w:tcPr>
            <w:tcW w:type="dxa" w:w="4200"/>
            <w:tcMar>
              <w:top w:type="dxa" w:w="80"/>
              <w:left w:type="dxa" w:w="110"/>
              <w:bottom w:type="dxa" w:w="80"/>
              <w:right w:type="dxa" w:w="110"/>
            </w:tcMar>
          </w:tcPr>
          <w:p>
            <w:r>
              <w:rPr>
                <w:b w:val="false"/>
                <w:bCs w:val="false"/>
                <w:sz w:val="20"/>
                <w:szCs w:val="20"/>
              </w:rPr>
              <w:t xml:space="preserve">Execute Article 28 written terms with all four processors before beta</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NOT DONE</w:t>
            </w:r>
          </w:p>
        </w:tc>
      </w:tr>
      <w:tr>
        <w:trPr>
          <w:tblHeader w:val="false"/>
        </w:trPr>
        <w:tc>
          <w:tcPr>
            <w:tcW w:type="dxa" w:w="700"/>
            <w:tcMar>
              <w:top w:type="dxa" w:w="80"/>
              <w:left w:type="dxa" w:w="110"/>
              <w:bottom w:type="dxa" w:w="80"/>
              <w:right w:type="dxa" w:w="110"/>
            </w:tcMar>
          </w:tcPr>
          <w:p>
            <w:r>
              <w:rPr>
                <w:b w:val="false"/>
                <w:bCs w:val="false"/>
                <w:sz w:val="20"/>
                <w:szCs w:val="20"/>
              </w:rPr>
              <w:t xml:space="preserve">R8</w:t>
            </w:r>
          </w:p>
        </w:tc>
        <w:tc>
          <w:tcPr>
            <w:tcW w:type="dxa" w:w="4200"/>
            <w:tcMar>
              <w:top w:type="dxa" w:w="80"/>
              <w:left w:type="dxa" w:w="110"/>
              <w:bottom w:type="dxa" w:w="80"/>
              <w:right w:type="dxa" w:w="110"/>
            </w:tcMar>
          </w:tcPr>
          <w:p>
            <w:r>
              <w:rPr>
                <w:b w:val="false"/>
                <w:bCs w:val="false"/>
                <w:sz w:val="20"/>
                <w:szCs w:val="20"/>
              </w:rPr>
              <w:t xml:space="preserve">Adversarially test the Sentry scrubbing with deliberately health-laden error payloads, as a gate</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TO BUILD — this is a gate, and it should be reversal-tested like every other</w:t>
            </w:r>
          </w:p>
        </w:tc>
      </w:tr>
      <w:tr>
        <w:trPr>
          <w:tblHeader w:val="false"/>
        </w:trPr>
        <w:tc>
          <w:tcPr>
            <w:tcW w:type="dxa" w:w="700"/>
            <w:tcMar>
              <w:top w:type="dxa" w:w="80"/>
              <w:left w:type="dxa" w:w="110"/>
              <w:bottom w:type="dxa" w:w="80"/>
              <w:right w:type="dxa" w:w="110"/>
            </w:tcMar>
          </w:tcPr>
          <w:p>
            <w:r>
              <w:rPr>
                <w:b w:val="false"/>
                <w:bCs w:val="false"/>
                <w:sz w:val="20"/>
                <w:szCs w:val="20"/>
              </w:rPr>
              <w:t xml:space="preserve">R9</w:t>
            </w:r>
          </w:p>
        </w:tc>
        <w:tc>
          <w:tcPr>
            <w:tcW w:type="dxa" w:w="4200"/>
            <w:tcMar>
              <w:top w:type="dxa" w:w="80"/>
              <w:left w:type="dxa" w:w="110"/>
              <w:bottom w:type="dxa" w:w="80"/>
              <w:right w:type="dxa" w:w="110"/>
            </w:tcMar>
          </w:tcPr>
          <w:p>
            <w:r>
              <w:rPr>
                <w:b w:val="false"/>
                <w:bCs w:val="false"/>
                <w:sz w:val="20"/>
                <w:szCs w:val="20"/>
              </w:rPr>
              <w:t xml:space="preserve">Cycle phase optional, deletable independently, never used for anything but session shaping</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Live</w:t>
            </w:r>
          </w:p>
        </w:tc>
      </w:tr>
      <w:tr>
        <w:trPr>
          <w:tblHeader w:val="false"/>
        </w:trPr>
        <w:tc>
          <w:tcPr>
            <w:tcW w:type="dxa" w:w="700"/>
            <w:tcMar>
              <w:top w:type="dxa" w:w="80"/>
              <w:left w:type="dxa" w:w="110"/>
              <w:bottom w:type="dxa" w:w="80"/>
              <w:right w:type="dxa" w:w="110"/>
            </w:tcMar>
          </w:tcPr>
          <w:p>
            <w:r>
              <w:rPr>
                <w:b w:val="false"/>
                <w:bCs w:val="false"/>
                <w:sz w:val="20"/>
                <w:szCs w:val="20"/>
              </w:rPr>
              <w:t xml:space="preserve">R10</w:t>
            </w:r>
          </w:p>
        </w:tc>
        <w:tc>
          <w:tcPr>
            <w:tcW w:type="dxa" w:w="4200"/>
            <w:tcMar>
              <w:top w:type="dxa" w:w="80"/>
              <w:left w:type="dxa" w:w="110"/>
              <w:bottom w:type="dxa" w:w="80"/>
              <w:right w:type="dxa" w:w="110"/>
            </w:tcMar>
          </w:tcPr>
          <w:p>
            <w:r>
              <w:rPr>
                <w:b w:val="false"/>
                <w:bCs w:val="false"/>
                <w:sz w:val="20"/>
                <w:szCs w:val="20"/>
              </w:rPr>
              <w:t xml:space="preserve">Off by default; Plan only; no chart on the weight log; coach never prompts a weigh-in; refusal above 3 lb per week sourced to published trial protocols</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Live</w:t>
            </w:r>
          </w:p>
        </w:tc>
      </w:tr>
      <w:tr>
        <w:trPr>
          <w:tblHeader w:val="false"/>
        </w:trPr>
        <w:tc>
          <w:tcPr>
            <w:tcW w:type="dxa" w:w="700"/>
            <w:tcMar>
              <w:top w:type="dxa" w:w="80"/>
              <w:left w:type="dxa" w:w="110"/>
              <w:bottom w:type="dxa" w:w="80"/>
              <w:right w:type="dxa" w:w="110"/>
            </w:tcMar>
          </w:tcPr>
          <w:p>
            <w:r>
              <w:rPr>
                <w:b w:val="false"/>
                <w:bCs w:val="false"/>
                <w:sz w:val="20"/>
                <w:szCs w:val="20"/>
              </w:rPr>
              <w:t xml:space="preserve">R11</w:t>
            </w:r>
          </w:p>
        </w:tc>
        <w:tc>
          <w:tcPr>
            <w:tcW w:type="dxa" w:w="4200"/>
            <w:tcMar>
              <w:top w:type="dxa" w:w="80"/>
              <w:left w:type="dxa" w:w="110"/>
              <w:bottom w:type="dxa" w:w="80"/>
              <w:right w:type="dxa" w:w="110"/>
            </w:tcMar>
          </w:tcPr>
          <w:p>
            <w:r>
              <w:rPr>
                <w:b w:val="false"/>
                <w:bCs w:val="false"/>
                <w:sz w:val="20"/>
                <w:szCs w:val="20"/>
              </w:rPr>
              <w:t xml:space="preserve">Explain derived patterns plainly in the privacy policy and in-app, and let the person turn derivation off</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Policy wording drafted; the off switch does not exist</w:t>
            </w:r>
          </w:p>
        </w:tc>
      </w:tr>
      <w:tr>
        <w:trPr>
          <w:tblHeader w:val="false"/>
        </w:trPr>
        <w:tc>
          <w:tcPr>
            <w:tcW w:type="dxa" w:w="700"/>
            <w:tcMar>
              <w:top w:type="dxa" w:w="80"/>
              <w:left w:type="dxa" w:w="110"/>
              <w:bottom w:type="dxa" w:w="80"/>
              <w:right w:type="dxa" w:w="110"/>
            </w:tcMar>
          </w:tcPr>
          <w:p>
            <w:r>
              <w:rPr>
                <w:b w:val="false"/>
                <w:bCs w:val="false"/>
                <w:sz w:val="20"/>
                <w:szCs w:val="20"/>
              </w:rPr>
              <w:t xml:space="preserve">R12</w:t>
            </w:r>
          </w:p>
        </w:tc>
        <w:tc>
          <w:tcPr>
            <w:tcW w:type="dxa" w:w="4200"/>
            <w:tcMar>
              <w:top w:type="dxa" w:w="80"/>
              <w:left w:type="dxa" w:w="110"/>
              <w:bottom w:type="dxa" w:w="80"/>
              <w:right w:type="dxa" w:w="110"/>
            </w:tcMar>
          </w:tcPr>
          <w:p>
            <w:r>
              <w:rPr>
                <w:b w:val="false"/>
                <w:bCs w:val="false"/>
                <w:sz w:val="20"/>
                <w:szCs w:val="20"/>
              </w:rPr>
              <w:t xml:space="preserve">Written breach procedure and log; written complaints procedure and log; a named person who can act if Graeme cannot</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NOT DONE — and the named person question has no answer yet</w:t>
            </w:r>
          </w:p>
        </w:tc>
      </w:tr>
      <w:tr>
        <w:trPr>
          <w:tblHeader w:val="false"/>
        </w:trPr>
        <w:tc>
          <w:tcPr>
            <w:tcW w:type="dxa" w:w="700"/>
            <w:tcMar>
              <w:top w:type="dxa" w:w="80"/>
              <w:left w:type="dxa" w:w="110"/>
              <w:bottom w:type="dxa" w:w="80"/>
              <w:right w:type="dxa" w:w="110"/>
            </w:tcMar>
          </w:tcPr>
          <w:p>
            <w:r>
              <w:rPr>
                <w:b w:val="false"/>
                <w:bCs w:val="false"/>
                <w:sz w:val="20"/>
                <w:szCs w:val="20"/>
              </w:rPr>
              <w:t xml:space="preserve">R13</w:t>
            </w:r>
          </w:p>
        </w:tc>
        <w:tc>
          <w:tcPr>
            <w:tcW w:type="dxa" w:w="4200"/>
            <w:tcMar>
              <w:top w:type="dxa" w:w="80"/>
              <w:left w:type="dxa" w:w="110"/>
              <w:bottom w:type="dxa" w:w="80"/>
              <w:right w:type="dxa" w:w="110"/>
            </w:tcMar>
          </w:tcPr>
          <w:p>
            <w:r>
              <w:rPr>
                <w:b w:val="false"/>
                <w:bCs w:val="false"/>
                <w:sz w:val="20"/>
                <w:szCs w:val="20"/>
              </w:rPr>
              <w:t xml:space="preserve">Retention schedule with automated dormancy deletion at 24 months</w:t>
            </w:r>
          </w:p>
        </w:tc>
        <w:tc>
          <w:tcPr>
            <w:tcW w:type="dxa" w:w="2200"/>
            <w:tcMar>
              <w:top w:type="dxa" w:w="80"/>
              <w:left w:type="dxa" w:w="110"/>
              <w:bottom w:type="dxa" w:w="80"/>
              <w:right w:type="dxa" w:w="110"/>
            </w:tcMar>
          </w:tcPr>
          <w:p>
            <w:r>
              <w:rPr>
                <w:b w:val="false"/>
                <w:bCs w:val="false"/>
                <w:sz w:val="20"/>
                <w:szCs w:val="20"/>
              </w:rPr>
              <w:t xml:space="preserve">High to Medium</w:t>
            </w:r>
          </w:p>
        </w:tc>
        <w:tc>
          <w:tcPr>
            <w:tcW w:type="dxa" w:w="2260"/>
            <w:tcMar>
              <w:top w:type="dxa" w:w="80"/>
              <w:left w:type="dxa" w:w="110"/>
              <w:bottom w:type="dxa" w:w="80"/>
              <w:right w:type="dxa" w:w="110"/>
            </w:tcMar>
          </w:tcPr>
          <w:p>
            <w:r>
              <w:rPr>
                <w:b w:val="false"/>
                <w:bCs w:val="false"/>
                <w:sz w:val="20"/>
                <w:szCs w:val="20"/>
              </w:rPr>
              <w:t xml:space="preserve">Policy states it; nothing implements it</w:t>
            </w:r>
          </w:p>
        </w:tc>
      </w:tr>
      <w:tr>
        <w:trPr>
          <w:tblHeader w:val="false"/>
        </w:trPr>
        <w:tc>
          <w:tcPr>
            <w:tcW w:type="dxa" w:w="700"/>
            <w:tcMar>
              <w:top w:type="dxa" w:w="80"/>
              <w:left w:type="dxa" w:w="110"/>
              <w:bottom w:type="dxa" w:w="80"/>
              <w:right w:type="dxa" w:w="110"/>
            </w:tcMar>
          </w:tcPr>
          <w:p>
            <w:r>
              <w:rPr>
                <w:b w:val="false"/>
                <w:bCs w:val="false"/>
                <w:sz w:val="20"/>
                <w:szCs w:val="20"/>
              </w:rPr>
              <w:t xml:space="preserve">R14</w:t>
            </w:r>
          </w:p>
        </w:tc>
        <w:tc>
          <w:tcPr>
            <w:tcW w:type="dxa" w:w="4200"/>
            <w:tcMar>
              <w:top w:type="dxa" w:w="80"/>
              <w:left w:type="dxa" w:w="110"/>
              <w:bottom w:type="dxa" w:w="80"/>
              <w:right w:type="dxa" w:w="110"/>
            </w:tcMar>
          </w:tcPr>
          <w:p>
            <w:r>
              <w:rPr>
                <w:b w:val="false"/>
                <w:bCs w:val="false"/>
                <w:sz w:val="20"/>
                <w:szCs w:val="20"/>
              </w:rPr>
              <w:t xml:space="preserve">Taster codes designed so redemption is not reportable back to the issuing organisation</w:t>
            </w:r>
          </w:p>
        </w:tc>
        <w:tc>
          <w:tcPr>
            <w:tcW w:type="dxa" w:w="2200"/>
            <w:tcMar>
              <w:top w:type="dxa" w:w="80"/>
              <w:left w:type="dxa" w:w="110"/>
              <w:bottom w:type="dxa" w:w="80"/>
              <w:right w:type="dxa" w:w="110"/>
            </w:tcMar>
          </w:tcPr>
          <w:p>
            <w:r>
              <w:rPr>
                <w:b w:val="false"/>
                <w:bCs w:val="false"/>
                <w:sz w:val="20"/>
                <w:szCs w:val="20"/>
              </w:rPr>
              <w:t xml:space="preserve">Medium to Low</w:t>
            </w:r>
          </w:p>
        </w:tc>
        <w:tc>
          <w:tcPr>
            <w:tcW w:type="dxa" w:w="2260"/>
            <w:tcMar>
              <w:top w:type="dxa" w:w="80"/>
              <w:left w:type="dxa" w:w="110"/>
              <w:bottom w:type="dxa" w:w="80"/>
              <w:right w:type="dxa" w:w="110"/>
            </w:tcMar>
          </w:tcPr>
          <w:p>
            <w:r>
              <w:rPr>
                <w:b w:val="false"/>
                <w:bCs w:val="false"/>
                <w:sz w:val="20"/>
                <w:szCs w:val="20"/>
              </w:rPr>
              <w:t xml:space="preserve">TO DESIGN — before outreach, not after</w:t>
            </w:r>
          </w:p>
        </w:tc>
      </w:tr>
      <w:tr>
        <w:trPr>
          <w:tblHeader w:val="false"/>
        </w:trPr>
        <w:tc>
          <w:tcPr>
            <w:tcW w:type="dxa" w:w="700"/>
            <w:tcMar>
              <w:top w:type="dxa" w:w="80"/>
              <w:left w:type="dxa" w:w="110"/>
              <w:bottom w:type="dxa" w:w="80"/>
              <w:right w:type="dxa" w:w="110"/>
            </w:tcMar>
          </w:tcPr>
          <w:p>
            <w:r>
              <w:rPr>
                <w:b w:val="false"/>
                <w:bCs w:val="false"/>
                <w:sz w:val="20"/>
                <w:szCs w:val="20"/>
              </w:rPr>
              <w:t xml:space="preserve">R15</w:t>
            </w:r>
          </w:p>
        </w:tc>
        <w:tc>
          <w:tcPr>
            <w:tcW w:type="dxa" w:w="4200"/>
            <w:tcMar>
              <w:top w:type="dxa" w:w="80"/>
              <w:left w:type="dxa" w:w="110"/>
              <w:bottom w:type="dxa" w:w="80"/>
              <w:right w:type="dxa" w:w="110"/>
            </w:tcMar>
          </w:tcPr>
          <w:p>
            <w:r>
              <w:rPr>
                <w:b w:val="false"/>
                <w:bCs w:val="false"/>
                <w:sz w:val="20"/>
                <w:szCs w:val="20"/>
              </w:rPr>
              <w:t xml:space="preserve">Keep marketing identity and coaching data in separate systems through the migration, and gate it</w:t>
            </w:r>
          </w:p>
        </w:tc>
        <w:tc>
          <w:tcPr>
            <w:tcW w:type="dxa" w:w="2200"/>
            <w:tcMar>
              <w:top w:type="dxa" w:w="80"/>
              <w:left w:type="dxa" w:w="110"/>
              <w:bottom w:type="dxa" w:w="80"/>
              <w:right w:type="dxa" w:w="110"/>
            </w:tcMar>
          </w:tcPr>
          <w:p>
            <w:r>
              <w:rPr>
                <w:b w:val="false"/>
                <w:bCs w:val="false"/>
                <w:sz w:val="20"/>
                <w:szCs w:val="20"/>
              </w:rPr>
              <w:t xml:space="preserve">High to Low</w:t>
            </w:r>
          </w:p>
        </w:tc>
        <w:tc>
          <w:tcPr>
            <w:tcW w:type="dxa" w:w="2260"/>
            <w:tcMar>
              <w:top w:type="dxa" w:w="80"/>
              <w:left w:type="dxa" w:w="110"/>
              <w:bottom w:type="dxa" w:w="80"/>
              <w:right w:type="dxa" w:w="110"/>
            </w:tcMar>
          </w:tcPr>
          <w:p>
            <w:r>
              <w:rPr>
                <w:b w:val="false"/>
                <w:bCs w:val="false"/>
                <w:sz w:val="20"/>
                <w:szCs w:val="20"/>
              </w:rPr>
              <w:t xml:space="preserve">Architecturally true today; needs a gate to stay true</w:t>
            </w:r>
          </w:p>
        </w:tc>
      </w:tr>
    </w:tbl>
    <w:p>
      <w:pPr>
        <w:pStyle w:val="Heading1"/>
        <w:spacing w:after="160" w:before="360"/>
      </w:pPr>
      <w:r>
        <w:rPr>
          <w:b/>
          <w:bCs/>
          <w:color w:val="1F4E5F"/>
          <w:sz w:val="32"/>
          <w:szCs w:val="32"/>
        </w:rPr>
        <w:t xml:space="preserve">Step 7 — Outcome and sign-off</w:t>
      </w:r>
    </w:p>
    <w:p>
      <w:pPr>
        <w:spacing w:after="140"/>
      </w:pPr>
      <w:r>
        <w:rPr>
          <w:sz w:val="22"/>
          <w:szCs w:val="22"/>
        </w:rPr>
        <w:t xml:space="preserve">To be completed by the controller. It is left blank because it is a judgement, and a judgement recorded before it was made is worth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4EAEE" w:val="clear"/>
            <w:tcMar>
              <w:top w:type="dxa" w:w="80"/>
              <w:left w:type="dxa" w:w="110"/>
              <w:bottom w:type="dxa" w:w="80"/>
              <w:right w:type="dxa" w:w="110"/>
            </w:tcMar>
          </w:tcPr>
          <w:p>
            <w:r>
              <w:rPr>
                <w:b/>
                <w:bCs/>
                <w:sz w:val="20"/>
                <w:szCs w:val="20"/>
              </w:rPr>
              <w:t xml:space="preserve">Question</w:t>
            </w:r>
          </w:p>
        </w:tc>
        <w:tc>
          <w:tcPr>
            <w:tcW w:type="dxa" w:w="5960"/>
            <w:shd w:fill="E4EAEE" w:val="clear"/>
            <w:tcMar>
              <w:top w:type="dxa" w:w="80"/>
              <w:left w:type="dxa" w:w="110"/>
              <w:bottom w:type="dxa" w:w="80"/>
              <w:right w:type="dxa" w:w="110"/>
            </w:tcMar>
          </w:tcPr>
          <w:p>
            <w:r>
              <w:rPr>
                <w:b/>
                <w:bCs/>
                <w:sz w:val="20"/>
                <w:szCs w:val="20"/>
              </w:rPr>
              <w:t xml:space="preserve">Answer</w:t>
            </w:r>
          </w:p>
        </w:tc>
      </w:tr>
      <w:tr>
        <w:trPr>
          <w:tblHeader w:val="false"/>
        </w:trPr>
        <w:tc>
          <w:tcPr>
            <w:tcW w:type="dxa" w:w="3400"/>
            <w:tcMar>
              <w:top w:type="dxa" w:w="80"/>
              <w:left w:type="dxa" w:w="110"/>
              <w:bottom w:type="dxa" w:w="80"/>
              <w:right w:type="dxa" w:w="110"/>
            </w:tcMar>
          </w:tcPr>
          <w:p>
            <w:r>
              <w:rPr>
                <w:b w:val="false"/>
                <w:bCs w:val="false"/>
                <w:sz w:val="20"/>
                <w:szCs w:val="20"/>
              </w:rPr>
              <w:t xml:space="preserve">Residual risk after the measures at Step 6</w:t>
            </w:r>
          </w:p>
        </w:tc>
        <w:tc>
          <w:tcPr>
            <w:tcW w:type="dxa" w:w="5960"/>
            <w:tcMar>
              <w:top w:type="dxa" w:w="80"/>
              <w:left w:type="dxa" w:w="110"/>
              <w:bottom w:type="dxa" w:w="80"/>
              <w:right w:type="dxa" w:w="110"/>
            </w:tcMar>
          </w:tcPr>
          <w:p>
            <w:r>
              <w:rPr>
                <w:b w:val="false"/>
                <w:bCs w:val="false"/>
                <w:sz w:val="20"/>
                <w:szCs w:val="20"/>
              </w:rPr>
              <w:t xml:space="preserve">[ To complete ]</w:t>
            </w:r>
          </w:p>
        </w:tc>
      </w:tr>
      <w:tr>
        <w:trPr>
          <w:tblHeader w:val="false"/>
        </w:trPr>
        <w:tc>
          <w:tcPr>
            <w:tcW w:type="dxa" w:w="3400"/>
            <w:tcMar>
              <w:top w:type="dxa" w:w="80"/>
              <w:left w:type="dxa" w:w="110"/>
              <w:bottom w:type="dxa" w:w="80"/>
              <w:right w:type="dxa" w:w="110"/>
            </w:tcMar>
          </w:tcPr>
          <w:p>
            <w:r>
              <w:rPr>
                <w:b w:val="false"/>
                <w:bCs w:val="false"/>
                <w:sz w:val="20"/>
                <w:szCs w:val="20"/>
              </w:rPr>
              <w:t xml:space="preserve">Is any residual risk high?</w:t>
            </w:r>
          </w:p>
        </w:tc>
        <w:tc>
          <w:tcPr>
            <w:tcW w:type="dxa" w:w="5960"/>
            <w:tcMar>
              <w:top w:type="dxa" w:w="80"/>
              <w:left w:type="dxa" w:w="110"/>
              <w:bottom w:type="dxa" w:w="80"/>
              <w:right w:type="dxa" w:w="110"/>
            </w:tcMar>
          </w:tcPr>
          <w:p>
            <w:r>
              <w:rPr>
                <w:b w:val="false"/>
                <w:bCs w:val="false"/>
                <w:sz w:val="20"/>
                <w:szCs w:val="20"/>
              </w:rPr>
              <w:t xml:space="preserve">[ To complete. If yes, Article 36 requires prior consultation with the ICO before processing begins. ]</w:t>
            </w:r>
          </w:p>
        </w:tc>
      </w:tr>
      <w:tr>
        <w:trPr>
          <w:tblHeader w:val="false"/>
        </w:trPr>
        <w:tc>
          <w:tcPr>
            <w:tcW w:type="dxa" w:w="3400"/>
            <w:tcMar>
              <w:top w:type="dxa" w:w="80"/>
              <w:left w:type="dxa" w:w="110"/>
              <w:bottom w:type="dxa" w:w="80"/>
              <w:right w:type="dxa" w:w="110"/>
            </w:tcMar>
          </w:tcPr>
          <w:p>
            <w:r>
              <w:rPr>
                <w:b w:val="false"/>
                <w:bCs w:val="false"/>
                <w:sz w:val="20"/>
                <w:szCs w:val="20"/>
              </w:rPr>
              <w:t xml:space="preserve">Measures approved</w:t>
            </w:r>
          </w:p>
        </w:tc>
        <w:tc>
          <w:tcPr>
            <w:tcW w:type="dxa" w:w="5960"/>
            <w:tcMar>
              <w:top w:type="dxa" w:w="80"/>
              <w:left w:type="dxa" w:w="110"/>
              <w:bottom w:type="dxa" w:w="80"/>
              <w:right w:type="dxa" w:w="110"/>
            </w:tcMar>
          </w:tcPr>
          <w:p>
            <w:r>
              <w:rPr>
                <w:b w:val="false"/>
                <w:bCs w:val="false"/>
                <w:sz w:val="20"/>
                <w:szCs w:val="20"/>
              </w:rPr>
              <w:t xml:space="preserve">[ To complete ]</w:t>
            </w:r>
          </w:p>
        </w:tc>
      </w:tr>
      <w:tr>
        <w:trPr>
          <w:tblHeader w:val="false"/>
        </w:trPr>
        <w:tc>
          <w:tcPr>
            <w:tcW w:type="dxa" w:w="3400"/>
            <w:tcMar>
              <w:top w:type="dxa" w:w="80"/>
              <w:left w:type="dxa" w:w="110"/>
              <w:bottom w:type="dxa" w:w="80"/>
              <w:right w:type="dxa" w:w="110"/>
            </w:tcMar>
          </w:tcPr>
          <w:p>
            <w:r>
              <w:rPr>
                <w:b w:val="false"/>
                <w:bCs w:val="false"/>
                <w:sz w:val="20"/>
                <w:szCs w:val="20"/>
              </w:rPr>
              <w:t xml:space="preserve">Measures rejected, and why</w:t>
            </w:r>
          </w:p>
        </w:tc>
        <w:tc>
          <w:tcPr>
            <w:tcW w:type="dxa" w:w="5960"/>
            <w:tcMar>
              <w:top w:type="dxa" w:w="80"/>
              <w:left w:type="dxa" w:w="110"/>
              <w:bottom w:type="dxa" w:w="80"/>
              <w:right w:type="dxa" w:w="110"/>
            </w:tcMar>
          </w:tcPr>
          <w:p>
            <w:r>
              <w:rPr>
                <w:b w:val="false"/>
                <w:bCs w:val="false"/>
                <w:sz w:val="20"/>
                <w:szCs w:val="20"/>
              </w:rPr>
              <w:t xml:space="preserve">[ To complete ]</w:t>
            </w:r>
          </w:p>
        </w:tc>
      </w:tr>
      <w:tr>
        <w:trPr>
          <w:tblHeader w:val="false"/>
        </w:trPr>
        <w:tc>
          <w:tcPr>
            <w:tcW w:type="dxa" w:w="3400"/>
            <w:tcMar>
              <w:top w:type="dxa" w:w="80"/>
              <w:left w:type="dxa" w:w="110"/>
              <w:bottom w:type="dxa" w:w="80"/>
              <w:right w:type="dxa" w:w="110"/>
            </w:tcMar>
          </w:tcPr>
          <w:p>
            <w:r>
              <w:rPr>
                <w:b w:val="false"/>
                <w:bCs w:val="false"/>
                <w:sz w:val="20"/>
                <w:szCs w:val="20"/>
              </w:rPr>
              <w:t xml:space="preserve">Signed</w:t>
            </w:r>
          </w:p>
        </w:tc>
        <w:tc>
          <w:tcPr>
            <w:tcW w:type="dxa" w:w="5960"/>
            <w:tcMar>
              <w:top w:type="dxa" w:w="80"/>
              <w:left w:type="dxa" w:w="110"/>
              <w:bottom w:type="dxa" w:w="80"/>
              <w:right w:type="dxa" w:w="110"/>
            </w:tcMar>
          </w:tcPr>
          <w:p>
            <w:r>
              <w:rPr>
                <w:b w:val="false"/>
                <w:bCs w:val="false"/>
                <w:sz w:val="20"/>
                <w:szCs w:val="20"/>
              </w:rPr>
              <w:t xml:space="preserve">[ Graeme Wright ]</w:t>
            </w:r>
          </w:p>
        </w:tc>
      </w:tr>
      <w:tr>
        <w:trPr>
          <w:tblHeader w:val="false"/>
        </w:trPr>
        <w:tc>
          <w:tcPr>
            <w:tcW w:type="dxa" w:w="3400"/>
            <w:tcMar>
              <w:top w:type="dxa" w:w="80"/>
              <w:left w:type="dxa" w:w="110"/>
              <w:bottom w:type="dxa" w:w="80"/>
              <w:right w:type="dxa" w:w="110"/>
            </w:tcMar>
          </w:tcPr>
          <w:p>
            <w:r>
              <w:rPr>
                <w:b w:val="false"/>
                <w:bCs w:val="false"/>
                <w:sz w:val="20"/>
                <w:szCs w:val="20"/>
              </w:rPr>
              <w:t xml:space="preserve">Date</w:t>
            </w:r>
          </w:p>
        </w:tc>
        <w:tc>
          <w:tcPr>
            <w:tcW w:type="dxa" w:w="5960"/>
            <w:tcMar>
              <w:top w:type="dxa" w:w="80"/>
              <w:left w:type="dxa" w:w="110"/>
              <w:bottom w:type="dxa" w:w="80"/>
              <w:right w:type="dxa" w:w="110"/>
            </w:tcMar>
          </w:tcPr>
          <w:p>
            <w:r>
              <w:rPr>
                <w:b w:val="false"/>
                <w:bCs w:val="false"/>
                <w:sz w:val="20"/>
                <w:szCs w:val="20"/>
              </w:rPr>
              <w:t xml:space="preserve">[ ]</w:t>
            </w:r>
          </w:p>
        </w:tc>
      </w:tr>
      <w:tr>
        <w:trPr>
          <w:tblHeader w:val="false"/>
        </w:trPr>
        <w:tc>
          <w:tcPr>
            <w:tcW w:type="dxa" w:w="3400"/>
            <w:tcMar>
              <w:top w:type="dxa" w:w="80"/>
              <w:left w:type="dxa" w:w="110"/>
              <w:bottom w:type="dxa" w:w="80"/>
              <w:right w:type="dxa" w:w="110"/>
            </w:tcMar>
          </w:tcPr>
          <w:p>
            <w:r>
              <w:rPr>
                <w:b w:val="false"/>
                <w:bCs w:val="false"/>
                <w:sz w:val="20"/>
                <w:szCs w:val="20"/>
              </w:rPr>
              <w:t xml:space="preserve">Next review</w:t>
            </w:r>
          </w:p>
        </w:tc>
        <w:tc>
          <w:tcPr>
            <w:tcW w:type="dxa" w:w="5960"/>
            <w:tcMar>
              <w:top w:type="dxa" w:w="80"/>
              <w:left w:type="dxa" w:w="110"/>
              <w:bottom w:type="dxa" w:w="80"/>
              <w:right w:type="dxa" w:w="110"/>
            </w:tcMar>
          </w:tcPr>
          <w:p>
            <w:r>
              <w:rPr>
                <w:b w:val="false"/>
                <w:bCs w:val="false"/>
                <w:sz w:val="20"/>
                <w:szCs w:val="20"/>
              </w:rPr>
              <w:t xml:space="preserve">[ Before beta opens ]</w:t>
            </w:r>
          </w:p>
        </w:tc>
      </w:tr>
    </w:tbl>
    <w:p>
      <w:pPr>
        <w:spacing w:after="60"/>
      </w:pPr>
      <w:r>
        <w:rPr>
          <w:sz w:val="22"/>
          <w:szCs w:val="22"/>
        </w:rPr>
        <w:t xml:space="preserve"/>
      </w:r>
    </w:p>
    <w:p>
      <w:pPr>
        <w:spacing w:after="140"/>
      </w:pPr>
      <w:r>
        <w:rPr>
          <w:sz w:val="22"/>
          <w:szCs w:val="22"/>
        </w:rPr>
        <w:t xml:space="preserve">An honest reading of Step 6 is that this DPIA cannot be signed off as low residual risk today, because eight of the measures are marked NOT DONE and four of those are the ones carrying High risks. That is not a reason to weaken the assessment. It is the assessment doing its job: it has produced a list of things that must happen before beta, which is what it was for.</w:t>
      </w:r>
    </w:p>
    <w:p>
      <w:pPr>
        <w:pStyle w:val="Heading2"/>
        <w:spacing w:after="120" w:before="280"/>
      </w:pPr>
      <w:r>
        <w:rPr>
          <w:b/>
          <w:bCs/>
          <w:color w:val="1F4E5F"/>
          <w:sz w:val="26"/>
          <w:szCs w:val="26"/>
        </w:rPr>
        <w:t xml:space="preserve">What this DPIA says must happen before beta opens</w:t>
      </w:r>
    </w:p>
    <w:p>
      <w:pPr>
        <w:pStyle w:val="ListParagraph"/>
        <w:numPr>
          <w:ilvl w:val="0"/>
          <w:numId w:val="2"/>
        </w:numPr>
        <w:spacing w:after="80"/>
      </w:pPr>
      <w:r>
        <w:rPr>
          <w:sz w:val="22"/>
          <w:szCs w:val="22"/>
        </w:rPr>
        <w:t xml:space="preserve">Execute Article 28 written terms with Supabase, Sentry, Zoho and Kit.</w:t>
      </w:r>
    </w:p>
    <w:p>
      <w:pPr>
        <w:pStyle w:val="ListParagraph"/>
        <w:numPr>
          <w:ilvl w:val="0"/>
          <w:numId w:val="2"/>
        </w:numPr>
        <w:spacing w:after="80"/>
      </w:pPr>
      <w:r>
        <w:rPr>
          <w:sz w:val="22"/>
          <w:szCs w:val="22"/>
        </w:rPr>
        <w:t xml:space="preserve">Write the breach procedure and the breach log, and the complaints procedure and log.</w:t>
      </w:r>
    </w:p>
    <w:p>
      <w:pPr>
        <w:pStyle w:val="ListParagraph"/>
        <w:numPr>
          <w:ilvl w:val="0"/>
          <w:numId w:val="2"/>
        </w:numPr>
        <w:spacing w:after="80"/>
      </w:pPr>
      <w:r>
        <w:rPr>
          <w:sz w:val="22"/>
          <w:szCs w:val="22"/>
        </w:rPr>
        <w:t xml:space="preserve">Build the Sentry scrubbing gate and reversal-test it.</w:t>
      </w:r>
    </w:p>
    <w:p>
      <w:pPr>
        <w:pStyle w:val="ListParagraph"/>
        <w:numPr>
          <w:ilvl w:val="0"/>
          <w:numId w:val="2"/>
        </w:numPr>
        <w:spacing w:after="80"/>
      </w:pPr>
      <w:r>
        <w:rPr>
          <w:sz w:val="22"/>
          <w:szCs w:val="22"/>
        </w:rPr>
        <w:t xml:space="preserve">Do the children's access assessment and document it, or accept Children's Code obligations.</w:t>
      </w:r>
    </w:p>
    <w:p>
      <w:pPr>
        <w:pStyle w:val="ListParagraph"/>
        <w:numPr>
          <w:ilvl w:val="0"/>
          <w:numId w:val="2"/>
        </w:numPr>
        <w:spacing w:after="80"/>
      </w:pPr>
      <w:r>
        <w:rPr>
          <w:sz w:val="22"/>
          <w:szCs w:val="22"/>
        </w:rPr>
        <w:t xml:space="preserve">Fill the physiotherapist and safeguarding reviewer roles, or record a decision to launch beta without them and why that is acceptable.</w:t>
      </w:r>
    </w:p>
    <w:p>
      <w:pPr>
        <w:pStyle w:val="ListParagraph"/>
        <w:numPr>
          <w:ilvl w:val="0"/>
          <w:numId w:val="2"/>
        </w:numPr>
        <w:spacing w:after="80"/>
      </w:pPr>
      <w:r>
        <w:rPr>
          <w:sz w:val="22"/>
          <w:szCs w:val="22"/>
        </w:rPr>
        <w:t xml:space="preserve">Decide who acts if Graeme cannot.</w:t>
      </w:r>
    </w:p>
    <w:p>
      <w:pPr>
        <w:pStyle w:val="ListParagraph"/>
        <w:numPr>
          <w:ilvl w:val="0"/>
          <w:numId w:val="2"/>
        </w:numPr>
        <w:spacing w:after="80"/>
      </w:pPr>
      <w:r>
        <w:rPr>
          <w:sz w:val="22"/>
          <w:szCs w:val="22"/>
        </w:rPr>
        <w:t xml:space="preserve">Run the user consultation with beta testers in week two and write the answers into Step 3.</w:t>
      </w:r>
    </w:p>
    <w:p>
      <w:pPr>
        <w:pBdr>
          <w:bottom w:val="single" w:color="8C8C8C" w:sz="6" w:space="1"/>
        </w:pBdr>
        <w:spacing w:after="160" w:before="160"/>
      </w:pPr>
      <w:r>
        <w:rPr>
          <w:sz w:val="2"/>
          <w:szCs w:val="2"/>
        </w:rPr>
        <w:t xml:space="preserve"/>
      </w:r>
    </w:p>
    <w:p>
      <w:pPr>
        <w:spacing w:after="140"/>
      </w:pPr>
      <w:r>
        <w:rPr>
          <w:i/>
          <w:iCs/>
          <w:sz w:val="22"/>
          <w:szCs w:val="22"/>
        </w:rPr>
        <w:t xml:space="preserve">Build New Habits · Alongside: Move · Data Protection Impact Assessment · 28 Aug 2026 v1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B4F8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hwnxztofda4h96xelkum" Type="http://schemas.openxmlformats.org/officeDocument/2006/relationships/hyperlink" Target="https://ico.org.uk/for-organisations/uk-gdpr-guidance-and-resources/accountability-and-governance/data-protection-impact-assessments/" TargetMode="External"/><Relationship Id="rIdycsyak3gca4jvgss1mnea" Type="http://schemas.openxmlformats.org/officeDocument/2006/relationships/hyperlink" Target="https://ico.org.uk/for-organisations/uk-gdpr-guidance-and-resources/accountability-and-governance/data-protection-impact-assessments-dpias/how-do-we-do-a-dpia/" TargetMode="External"/><Relationship Id="rIdjojem_jofo36hb9w9opyc" Type="http://schemas.openxmlformats.org/officeDocument/2006/relationships/hyperlink" Target="https://ico.org.uk/for-organisations/uk-gdpr-guidance-and-resources/accountability-and-governance/data-protection-impact-assessments-dpias/when-do-we-need-to-do-a-dpia/" TargetMode="External"/><Relationship Id="rIdlogpwlco9_rjfuh8l4jaf" Type="http://schemas.openxmlformats.org/officeDocument/2006/relationships/hyperlink" Target="https://ico.org.uk/for-organisations/uk-gdpr-guidance-and-resources/lawful-basis/special-category-data/what-are-the-rules-on-special-category-data/" TargetMode="External"/><Relationship Id="rIdntnqpan4z4m2nqowjlkkk" Type="http://schemas.openxmlformats.org/officeDocument/2006/relationships/hyperlink" Target="https://ico.org.uk/about-the-ico/what-we-do/information-commissioners-opinions/age-assurance-for-the-children-s-cod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2026-08-28T07:04:05.906Z</dcterms:created>
  <dcterms:modified xsi:type="dcterms:W3CDTF">2026-08-28T07:04:05.918Z</dcterms:modified>
</cp:coreProperties>
</file>

<file path=docProps/custom.xml><?xml version="1.0" encoding="utf-8"?>
<Properties xmlns="http://schemas.openxmlformats.org/officeDocument/2006/custom-properties" xmlns:vt="http://schemas.openxmlformats.org/officeDocument/2006/docPropsVTypes"/>
</file>