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20"/>
          <w:szCs w:val="20"/>
        </w:rPr>
        <w:t xml:space="preserve">BUILD NEW HABITS</w:t>
      </w:r>
    </w:p>
    <w:p>
      <w:pPr>
        <w:spacing w:after="40"/>
      </w:pPr>
      <w:r>
        <w:rPr>
          <w:b/>
          <w:bCs/>
          <w:color w:val="1F4E5F"/>
          <w:sz w:val="36"/>
          <w:szCs w:val="36"/>
        </w:rPr>
        <w:t xml:space="preserve">Privacy Policy v4 — Compliance Annotations</w:t>
      </w:r>
    </w:p>
    <w:p>
      <w:pPr>
        <w:spacing w:after="200"/>
      </w:pPr>
      <w:r>
        <w:rPr>
          <w:b/>
          <w:bCs/>
          <w:sz w:val="22"/>
          <w:szCs w:val="22"/>
        </w:rPr>
        <w:t xml:space="preserve">28 Aug 2026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5F7" w:val="clear"/>
            <w:tcMar>
              <w:top w:type="dxa" w:w="120"/>
              <w:left w:type="dxa" w:w="160"/>
              <w:bottom w:type="dxa" w:w="120"/>
              <w:right w:type="dxa" w:w="160"/>
            </w:tcMar>
          </w:tcPr>
          <w:p>
            <w:pPr>
              <w:spacing w:after="60"/>
            </w:pPr>
            <w:r>
              <w:rPr>
                <w:b/>
                <w:bCs/>
                <w:color w:val="1F4E5F"/>
                <w:sz w:val="21"/>
                <w:szCs w:val="21"/>
              </w:rPr>
              <w:t xml:space="preserve">What this is</w:t>
            </w:r>
          </w:p>
          <w:p>
            <w:r>
              <w:rPr>
                <w:sz w:val="21"/>
                <w:szCs w:val="21"/>
              </w:rPr>
              <w:t xml:space="preserve">A companion to alongside_privacy_policy_28aug2026_v4. For each section of that policy it sets out which specific requirement the section is trying to meet, where that requirement comes from, and what is still open. The point is to make the draft quick to assess rather than quick to admire — if something is wrong, this should make it faster to find.</w:t>
            </w:r>
          </w:p>
        </w:tc>
      </w:tr>
    </w:tbl>
    <w:p>
      <w:pPr>
        <w:spacing w:after="140"/>
      </w:pPr>
      <w:r>
        <w:rPr>
          <w:sz w:val="22"/>
          <w:szCs w:val="22"/>
        </w:rPr>
        <w:t xml:space="preserve"/>
      </w:r>
    </w:p>
    <w:p>
      <w:pPr>
        <w:pStyle w:val="Heading1"/>
        <w:spacing w:after="160" w:before="360"/>
      </w:pPr>
      <w:r>
        <w:rPr>
          <w:b/>
          <w:bCs/>
          <w:color w:val="1F4E5F"/>
          <w:sz w:val="32"/>
          <w:szCs w:val="32"/>
        </w:rPr>
        <w:t xml:space="preserve">A. How I built it, and what I am not claiming</w:t>
      </w:r>
    </w:p>
    <w:p>
      <w:pPr>
        <w:spacing w:after="140"/>
      </w:pPr>
      <w:r>
        <w:rPr>
          <w:sz w:val="22"/>
          <w:szCs w:val="22"/>
        </w:rPr>
        <w:t xml:space="preserve">I am not a lawyer. What I have done is work through the ICO's own transparency guidance requirement by requirement, and write the policy against that list rather than against other apps' policies. Where the guidance is clear, I have followed it and said so. Where it is genuinely unsettled, or where it turns on a fact about our product that only we know, I have flagged it as TO CONFIRM rather than guess and hope nobody checks.</w:t>
      </w:r>
    </w:p>
    <w:p>
      <w:pPr>
        <w:spacing w:after="140"/>
      </w:pPr>
      <w:r>
        <w:rPr>
          <w:sz w:val="22"/>
          <w:szCs w:val="22"/>
        </w:rPr>
        <w:t xml:space="preserve">The starting point was the ICO's guidance on drafting privacy information (</w:t>
      </w:r>
      <w:hyperlink w:history="1" r:id="rIdaxzcuhuhhr8xsbk1fkvus">
        <w:r>
          <w:rPr>
            <w:rStyle w:val="Hyperlink"/>
            <w:sz w:val="22"/>
            <w:szCs w:val="22"/>
          </w:rPr>
          <w:t xml:space="preserve">How should we draft our privacy information?</w:t>
        </w:r>
      </w:hyperlink>
      <w:r>
        <w:rPr>
          <w:sz w:val="22"/>
          <w:szCs w:val="22"/>
        </w:rPr>
        <w:t xml:space="preserve">) and its checklist of what must be provided (</w:t>
      </w:r>
      <w:hyperlink w:history="1" r:id="rIdiizzpxb7lxipugg7rtg2l">
        <w:r>
          <w:rPr>
            <w:rStyle w:val="Hyperlink"/>
            <w:sz w:val="22"/>
            <w:szCs w:val="22"/>
          </w:rPr>
          <w:t xml:space="preserve">What privacy information should we provide?</w:t>
        </w:r>
      </w:hyperlink>
      <w:r>
        <w:rPr>
          <w:sz w:val="22"/>
          <w:szCs w:val="22"/>
        </w:rPr>
        <w:t xml:space="preserve">), which sets out the Article 13 items and marks each as Always or If applicable. Section C below maps our policy against that list line by line.</w:t>
      </w:r>
    </w:p>
    <w:p>
      <w:pPr>
        <w:spacing w:after="140"/>
      </w:pPr>
      <w:r>
        <w:rPr>
          <w:sz w:val="22"/>
          <w:szCs w:val="22"/>
        </w:rPr>
        <w:t xml:space="preserve">Two things worth saying plainly. First, there are things in this draft that were wrong in v3 and are now fixed — Section E sets those out, because a reviewer should know what moved and why. Second, there are three things that no privacy policy can fix, and they are the ones I would spend money on first. They are in Section F.</w:t>
      </w:r>
    </w:p>
    <w:p>
      <w:pPr>
        <w:pStyle w:val="Heading1"/>
        <w:spacing w:after="160" w:before="360"/>
      </w:pPr>
      <w:r>
        <w:rPr>
          <w:b/>
          <w:bCs/>
          <w:color w:val="1F4E5F"/>
          <w:sz w:val="32"/>
          <w:szCs w:val="32"/>
        </w:rPr>
        <w:t xml:space="preserve">B. Summary of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shd w:fill="E4EAEE" w:val="clear"/>
            <w:tcMar>
              <w:top w:type="dxa" w:w="80"/>
              <w:left w:type="dxa" w:w="110"/>
              <w:bottom w:type="dxa" w:w="80"/>
              <w:right w:type="dxa" w:w="110"/>
            </w:tcMar>
          </w:tcPr>
          <w:p>
            <w:r>
              <w:rPr>
                <w:b/>
                <w:bCs/>
                <w:sz w:val="20"/>
                <w:szCs w:val="20"/>
              </w:rPr>
              <w:t xml:space="preserve">Area</w:t>
            </w:r>
          </w:p>
        </w:tc>
        <w:tc>
          <w:tcPr>
            <w:tcW w:type="dxa" w:w="6060"/>
            <w:shd w:fill="E4EAEE" w:val="clear"/>
            <w:tcMar>
              <w:top w:type="dxa" w:w="80"/>
              <w:left w:type="dxa" w:w="110"/>
              <w:bottom w:type="dxa" w:w="80"/>
              <w:right w:type="dxa" w:w="110"/>
            </w:tcMar>
          </w:tcPr>
          <w:p>
            <w:r>
              <w:rPr>
                <w:b/>
                <w:bCs/>
                <w:sz w:val="20"/>
                <w:szCs w:val="20"/>
              </w:rPr>
              <w:t xml:space="preserve">Where we are</w:t>
            </w:r>
          </w:p>
        </w:tc>
      </w:tr>
      <w:tr>
        <w:trPr>
          <w:tblHeader w:val="false"/>
        </w:trPr>
        <w:tc>
          <w:tcPr>
            <w:tcW w:type="dxa" w:w="3300"/>
            <w:tcMar>
              <w:top w:type="dxa" w:w="80"/>
              <w:left w:type="dxa" w:w="110"/>
              <w:bottom w:type="dxa" w:w="80"/>
              <w:right w:type="dxa" w:w="110"/>
            </w:tcMar>
          </w:tcPr>
          <w:p>
            <w:r>
              <w:rPr>
                <w:b w:val="false"/>
                <w:bCs w:val="false"/>
                <w:sz w:val="20"/>
                <w:szCs w:val="20"/>
              </w:rPr>
              <w:t xml:space="preserve">Article 13 mandatory items</w:t>
            </w:r>
          </w:p>
        </w:tc>
        <w:tc>
          <w:tcPr>
            <w:tcW w:type="dxa" w:w="6060"/>
            <w:tcMar>
              <w:top w:type="dxa" w:w="80"/>
              <w:left w:type="dxa" w:w="110"/>
              <w:bottom w:type="dxa" w:w="80"/>
              <w:right w:type="dxa" w:w="110"/>
            </w:tcMar>
          </w:tcPr>
          <w:p>
            <w:r>
              <w:rPr>
                <w:b w:val="false"/>
                <w:bCs w:val="false"/>
                <w:sz w:val="20"/>
                <w:szCs w:val="20"/>
              </w:rPr>
              <w:t xml:space="preserve">All Always items now covered. See Section C.</w:t>
            </w:r>
          </w:p>
        </w:tc>
      </w:tr>
      <w:tr>
        <w:trPr>
          <w:tblHeader w:val="false"/>
        </w:trPr>
        <w:tc>
          <w:tcPr>
            <w:tcW w:type="dxa" w:w="3300"/>
            <w:tcMar>
              <w:top w:type="dxa" w:w="80"/>
              <w:left w:type="dxa" w:w="110"/>
              <w:bottom w:type="dxa" w:w="80"/>
              <w:right w:type="dxa" w:w="110"/>
            </w:tcMar>
          </w:tcPr>
          <w:p>
            <w:r>
              <w:rPr>
                <w:b w:val="false"/>
                <w:bCs w:val="false"/>
                <w:sz w:val="20"/>
                <w:szCs w:val="20"/>
              </w:rPr>
              <w:t xml:space="preserve">Article 13 conditional items</w:t>
            </w:r>
          </w:p>
        </w:tc>
        <w:tc>
          <w:tcPr>
            <w:tcW w:type="dxa" w:w="6060"/>
            <w:tcMar>
              <w:top w:type="dxa" w:w="80"/>
              <w:left w:type="dxa" w:w="110"/>
              <w:bottom w:type="dxa" w:w="80"/>
              <w:right w:type="dxa" w:w="110"/>
            </w:tcMar>
          </w:tcPr>
          <w:p>
            <w:r>
              <w:rPr>
                <w:b w:val="false"/>
                <w:bCs w:val="false"/>
                <w:sz w:val="20"/>
                <w:szCs w:val="20"/>
              </w:rPr>
              <w:t xml:space="preserve">Covered where applicable. International transfers and automated processing were absent from v3 and are now present but need confirming.</w:t>
            </w:r>
          </w:p>
        </w:tc>
      </w:tr>
      <w:tr>
        <w:trPr>
          <w:tblHeader w:val="false"/>
        </w:trPr>
        <w:tc>
          <w:tcPr>
            <w:tcW w:type="dxa" w:w="3300"/>
            <w:tcMar>
              <w:top w:type="dxa" w:w="80"/>
              <w:left w:type="dxa" w:w="110"/>
              <w:bottom w:type="dxa" w:w="80"/>
              <w:right w:type="dxa" w:w="110"/>
            </w:tcMar>
          </w:tcPr>
          <w:p>
            <w:r>
              <w:rPr>
                <w:b w:val="false"/>
                <w:bCs w:val="false"/>
                <w:sz w:val="20"/>
                <w:szCs w:val="20"/>
              </w:rPr>
              <w:t xml:space="preserve">Lawful basis structure</w:t>
            </w:r>
          </w:p>
        </w:tc>
        <w:tc>
          <w:tcPr>
            <w:tcW w:type="dxa" w:w="6060"/>
            <w:tcMar>
              <w:top w:type="dxa" w:w="80"/>
              <w:left w:type="dxa" w:w="110"/>
              <w:bottom w:type="dxa" w:w="80"/>
              <w:right w:type="dxa" w:w="110"/>
            </w:tcMar>
          </w:tcPr>
          <w:p>
            <w:r>
              <w:rPr>
                <w:b w:val="false"/>
                <w:bCs w:val="false"/>
                <w:sz w:val="20"/>
                <w:szCs w:val="20"/>
              </w:rPr>
              <w:t xml:space="preserve">Corrected. v3 conflated Article 6 and Article 9. v4 states both separately for every category of data.</w:t>
            </w:r>
          </w:p>
        </w:tc>
      </w:tr>
      <w:tr>
        <w:trPr>
          <w:tblHeader w:val="false"/>
        </w:trPr>
        <w:tc>
          <w:tcPr>
            <w:tcW w:type="dxa" w:w="3300"/>
            <w:tcMar>
              <w:top w:type="dxa" w:w="80"/>
              <w:left w:type="dxa" w:w="110"/>
              <w:bottom w:type="dxa" w:w="80"/>
              <w:right w:type="dxa" w:w="110"/>
            </w:tcMar>
          </w:tcPr>
          <w:p>
            <w:r>
              <w:rPr>
                <w:b w:val="false"/>
                <w:bCs w:val="false"/>
                <w:sz w:val="20"/>
                <w:szCs w:val="20"/>
              </w:rPr>
              <w:t xml:space="preserve">Statutory response times</w:t>
            </w:r>
          </w:p>
        </w:tc>
        <w:tc>
          <w:tcPr>
            <w:tcW w:type="dxa" w:w="6060"/>
            <w:tcMar>
              <w:top w:type="dxa" w:w="80"/>
              <w:left w:type="dxa" w:w="110"/>
              <w:bottom w:type="dxa" w:w="80"/>
              <w:right w:type="dxa" w:w="110"/>
            </w:tcMar>
          </w:tcPr>
          <w:p>
            <w:r>
              <w:rPr>
                <w:b w:val="false"/>
                <w:bCs w:val="false"/>
                <w:sz w:val="20"/>
                <w:szCs w:val="20"/>
              </w:rPr>
              <w:t xml:space="preserve">Corrected from 30 days to one calendar month.</w:t>
            </w:r>
          </w:p>
        </w:tc>
      </w:tr>
      <w:tr>
        <w:trPr>
          <w:tblHeader w:val="false"/>
        </w:trPr>
        <w:tc>
          <w:tcPr>
            <w:tcW w:type="dxa" w:w="3300"/>
            <w:tcMar>
              <w:top w:type="dxa" w:w="80"/>
              <w:left w:type="dxa" w:w="110"/>
              <w:bottom w:type="dxa" w:w="80"/>
              <w:right w:type="dxa" w:w="110"/>
            </w:tcMar>
          </w:tcPr>
          <w:p>
            <w:r>
              <w:rPr>
                <w:b w:val="false"/>
                <w:bCs w:val="false"/>
                <w:sz w:val="20"/>
                <w:szCs w:val="20"/>
              </w:rPr>
              <w:t xml:space="preserve">Complaints (DUAA s.164A)</w:t>
            </w:r>
          </w:p>
        </w:tc>
        <w:tc>
          <w:tcPr>
            <w:tcW w:type="dxa" w:w="6060"/>
            <w:tcMar>
              <w:top w:type="dxa" w:w="80"/>
              <w:left w:type="dxa" w:w="110"/>
              <w:bottom w:type="dxa" w:w="80"/>
              <w:right w:type="dxa" w:w="110"/>
            </w:tcMar>
          </w:tcPr>
          <w:p>
            <w:r>
              <w:rPr>
                <w:b w:val="false"/>
                <w:bCs w:val="false"/>
                <w:sz w:val="20"/>
                <w:szCs w:val="20"/>
              </w:rPr>
              <w:t xml:space="preserve">Rewritten. This obligation came into force on 19 June 2026 and v3 did not meet it.</w:t>
            </w:r>
          </w:p>
        </w:tc>
      </w:tr>
      <w:tr>
        <w:trPr>
          <w:tblHeader w:val="false"/>
        </w:trPr>
        <w:tc>
          <w:tcPr>
            <w:tcW w:type="dxa" w:w="3300"/>
            <w:tcMar>
              <w:top w:type="dxa" w:w="80"/>
              <w:left w:type="dxa" w:w="110"/>
              <w:bottom w:type="dxa" w:w="80"/>
              <w:right w:type="dxa" w:w="110"/>
            </w:tcMar>
          </w:tcPr>
          <w:p>
            <w:r>
              <w:rPr>
                <w:b w:val="false"/>
                <w:bCs w:val="false"/>
                <w:sz w:val="20"/>
                <w:szCs w:val="20"/>
              </w:rPr>
              <w:t xml:space="preserve">Retention</w:t>
            </w:r>
          </w:p>
        </w:tc>
        <w:tc>
          <w:tcPr>
            <w:tcW w:type="dxa" w:w="6060"/>
            <w:tcMar>
              <w:top w:type="dxa" w:w="80"/>
              <w:left w:type="dxa" w:w="110"/>
              <w:bottom w:type="dxa" w:w="80"/>
              <w:right w:type="dxa" w:w="110"/>
            </w:tcMar>
          </w:tcPr>
          <w:p>
            <w:r>
              <w:rPr>
                <w:b w:val="false"/>
                <w:bCs w:val="false"/>
                <w:sz w:val="20"/>
                <w:szCs w:val="20"/>
              </w:rPr>
              <w:t xml:space="preserve">Now defined with actual periods rather than "while your account is active".</w:t>
            </w:r>
          </w:p>
        </w:tc>
      </w:tr>
      <w:tr>
        <w:trPr>
          <w:tblHeader w:val="false"/>
        </w:trPr>
        <w:tc>
          <w:tcPr>
            <w:tcW w:type="dxa" w:w="3300"/>
            <w:tcMar>
              <w:top w:type="dxa" w:w="80"/>
              <w:left w:type="dxa" w:w="110"/>
              <w:bottom w:type="dxa" w:w="80"/>
              <w:right w:type="dxa" w:w="110"/>
            </w:tcMar>
          </w:tcPr>
          <w:p>
            <w:r>
              <w:rPr>
                <w:b w:val="false"/>
                <w:bCs w:val="false"/>
                <w:sz w:val="20"/>
                <w:szCs w:val="20"/>
              </w:rPr>
              <w:t xml:space="preserve">Age assurance</w:t>
            </w:r>
          </w:p>
        </w:tc>
        <w:tc>
          <w:tcPr>
            <w:tcW w:type="dxa" w:w="6060"/>
            <w:tcMar>
              <w:top w:type="dxa" w:w="80"/>
              <w:left w:type="dxa" w:w="110"/>
              <w:bottom w:type="dxa" w:w="80"/>
              <w:right w:type="dxa" w:w="110"/>
            </w:tcMar>
          </w:tcPr>
          <w:p>
            <w:r>
              <w:rPr>
                <w:b w:val="false"/>
                <w:bCs w:val="false"/>
                <w:sz w:val="20"/>
                <w:szCs w:val="20"/>
              </w:rPr>
              <w:t xml:space="preserve">Open, and I think genuinely risky. See Section D12 and Section F.</w:t>
            </w:r>
          </w:p>
        </w:tc>
      </w:tr>
      <w:tr>
        <w:trPr>
          <w:tblHeader w:val="false"/>
        </w:trPr>
        <w:tc>
          <w:tcPr>
            <w:tcW w:type="dxa" w:w="3300"/>
            <w:tcMar>
              <w:top w:type="dxa" w:w="80"/>
              <w:left w:type="dxa" w:w="110"/>
              <w:bottom w:type="dxa" w:w="80"/>
              <w:right w:type="dxa" w:w="110"/>
            </w:tcMar>
          </w:tcPr>
          <w:p>
            <w:r>
              <w:rPr>
                <w:b w:val="false"/>
                <w:bCs w:val="false"/>
                <w:sz w:val="20"/>
                <w:szCs w:val="20"/>
              </w:rPr>
              <w:t xml:space="preserve">DPIA</w:t>
            </w:r>
          </w:p>
        </w:tc>
        <w:tc>
          <w:tcPr>
            <w:tcW w:type="dxa" w:w="6060"/>
            <w:tcMar>
              <w:top w:type="dxa" w:w="80"/>
              <w:left w:type="dxa" w:w="110"/>
              <w:bottom w:type="dxa" w:w="80"/>
              <w:right w:type="dxa" w:w="110"/>
            </w:tcMar>
          </w:tcPr>
          <w:p>
            <w:r>
              <w:rPr>
                <w:b w:val="false"/>
                <w:bCs w:val="false"/>
                <w:sz w:val="20"/>
                <w:szCs w:val="20"/>
              </w:rPr>
              <w:t xml:space="preserve">Not started. See Section F. I think this is the largest single gap.</w:t>
            </w:r>
          </w:p>
        </w:tc>
      </w:tr>
      <w:tr>
        <w:trPr>
          <w:tblHeader w:val="false"/>
        </w:trPr>
        <w:tc>
          <w:tcPr>
            <w:tcW w:type="dxa" w:w="3300"/>
            <w:tcMar>
              <w:top w:type="dxa" w:w="80"/>
              <w:left w:type="dxa" w:w="110"/>
              <w:bottom w:type="dxa" w:w="80"/>
              <w:right w:type="dxa" w:w="110"/>
            </w:tcMar>
          </w:tcPr>
          <w:p>
            <w:r>
              <w:rPr>
                <w:b w:val="false"/>
                <w:bCs w:val="false"/>
                <w:sz w:val="20"/>
                <w:szCs w:val="20"/>
              </w:rPr>
              <w:t xml:space="preserve">ICO registration</w:t>
            </w:r>
          </w:p>
        </w:tc>
        <w:tc>
          <w:tcPr>
            <w:tcW w:type="dxa" w:w="6060"/>
            <w:tcMar>
              <w:top w:type="dxa" w:w="80"/>
              <w:left w:type="dxa" w:w="110"/>
              <w:bottom w:type="dxa" w:w="80"/>
              <w:right w:type="dxa" w:w="110"/>
            </w:tcMar>
          </w:tcPr>
          <w:p>
            <w:r>
              <w:rPr>
                <w:b w:val="false"/>
                <w:bCs w:val="false"/>
                <w:sz w:val="20"/>
                <w:szCs w:val="20"/>
              </w:rPr>
              <w:t xml:space="preserve">Not done. See Section F.</w:t>
            </w:r>
          </w:p>
        </w:tc>
      </w:tr>
    </w:tbl>
    <w:p>
      <w:pPr>
        <w:pStyle w:val="Heading1"/>
        <w:spacing w:after="160" w:before="360"/>
      </w:pPr>
      <w:r>
        <w:rPr>
          <w:b/>
          <w:bCs/>
          <w:color w:val="1F4E5F"/>
          <w:sz w:val="32"/>
          <w:szCs w:val="32"/>
        </w:rPr>
        <w:t xml:space="preserve">C. Coverage map against the ICO's Article 13 checklist</w:t>
      </w:r>
    </w:p>
    <w:p>
      <w:pPr>
        <w:spacing w:after="140"/>
      </w:pPr>
      <w:r>
        <w:rPr>
          <w:sz w:val="22"/>
          <w:szCs w:val="22"/>
        </w:rPr>
        <w:t xml:space="preserve">Item list and Always/If applicable markings taken from the ICO's table at </w:t>
      </w:r>
      <w:hyperlink w:history="1" r:id="rIdcsve4_gx8xnq9bwxfsxn8">
        <w:r>
          <w:rPr>
            <w:rStyle w:val="Hyperlink"/>
            <w:sz w:val="22"/>
            <w:szCs w:val="22"/>
          </w:rPr>
          <w:t xml:space="preserve">What privacy information should we provide?</w:t>
        </w:r>
      </w:hyperlink>
      <w:r>
        <w:rPr>
          <w:sz w:val="22"/>
          <w:szCs w:val="22"/>
        </w:rPr>
        <w:t xml:space="preserve"> The underlying legal requirement is </w:t>
      </w:r>
      <w:hyperlink w:history="1" r:id="rIdollazk7jt-6aqcvyobeg5">
        <w:r>
          <w:rPr>
            <w:rStyle w:val="Hyperlink"/>
            <w:sz w:val="22"/>
            <w:szCs w:val="22"/>
          </w:rPr>
          <w:t xml:space="preserve">Article 13 of the UK GDPR</w:t>
        </w:r>
      </w:hyperlink>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50"/>
        <w:gridCol w:w="2400"/>
        <w:gridCol w:w="3210"/>
      </w:tblGrid>
      <w:tr>
        <w:trPr>
          <w:tblHeader/>
        </w:trPr>
        <w:tc>
          <w:tcPr>
            <w:tcW w:type="dxa" w:w="2500"/>
            <w:shd w:fill="E4EAEE" w:val="clear"/>
            <w:tcMar>
              <w:top w:type="dxa" w:w="80"/>
              <w:left w:type="dxa" w:w="110"/>
              <w:bottom w:type="dxa" w:w="80"/>
              <w:right w:type="dxa" w:w="110"/>
            </w:tcMar>
          </w:tcPr>
          <w:p>
            <w:r>
              <w:rPr>
                <w:b/>
                <w:bCs/>
                <w:sz w:val="20"/>
                <w:szCs w:val="20"/>
              </w:rPr>
              <w:t xml:space="preserve">Item</w:t>
            </w:r>
          </w:p>
        </w:tc>
        <w:tc>
          <w:tcPr>
            <w:tcW w:type="dxa" w:w="1250"/>
            <w:shd w:fill="E4EAEE" w:val="clear"/>
            <w:tcMar>
              <w:top w:type="dxa" w:w="80"/>
              <w:left w:type="dxa" w:w="110"/>
              <w:bottom w:type="dxa" w:w="80"/>
              <w:right w:type="dxa" w:w="110"/>
            </w:tcMar>
          </w:tcPr>
          <w:p>
            <w:r>
              <w:rPr>
                <w:b/>
                <w:bCs/>
                <w:sz w:val="20"/>
                <w:szCs w:val="20"/>
              </w:rPr>
              <w:t xml:space="preserve">Required</w:t>
            </w:r>
          </w:p>
        </w:tc>
        <w:tc>
          <w:tcPr>
            <w:tcW w:type="dxa" w:w="2400"/>
            <w:shd w:fill="E4EAEE" w:val="clear"/>
            <w:tcMar>
              <w:top w:type="dxa" w:w="80"/>
              <w:left w:type="dxa" w:w="110"/>
              <w:bottom w:type="dxa" w:w="80"/>
              <w:right w:type="dxa" w:w="110"/>
            </w:tcMar>
          </w:tcPr>
          <w:p>
            <w:r>
              <w:rPr>
                <w:b/>
                <w:bCs/>
                <w:sz w:val="20"/>
                <w:szCs w:val="20"/>
              </w:rPr>
              <w:t xml:space="preserve">Where in v4</w:t>
            </w:r>
          </w:p>
        </w:tc>
        <w:tc>
          <w:tcPr>
            <w:tcW w:type="dxa" w:w="3210"/>
            <w:shd w:fill="E4EAEE" w:val="clear"/>
            <w:tcMar>
              <w:top w:type="dxa" w:w="80"/>
              <w:left w:type="dxa" w:w="110"/>
              <w:bottom w:type="dxa" w:w="80"/>
              <w:right w:type="dxa" w:w="110"/>
            </w:tcMar>
          </w:tcPr>
          <w:p>
            <w:r>
              <w:rPr>
                <w:b/>
                <w:bCs/>
                <w:sz w:val="20"/>
                <w:szCs w:val="20"/>
              </w:rPr>
              <w:t xml:space="preserve">Status</w:t>
            </w:r>
          </w:p>
        </w:tc>
      </w:tr>
      <w:tr>
        <w:trPr>
          <w:tblHeader w:val="false"/>
        </w:trPr>
        <w:tc>
          <w:tcPr>
            <w:tcW w:type="dxa" w:w="2500"/>
            <w:tcMar>
              <w:top w:type="dxa" w:w="80"/>
              <w:left w:type="dxa" w:w="110"/>
              <w:bottom w:type="dxa" w:w="80"/>
              <w:right w:type="dxa" w:w="110"/>
            </w:tcMar>
          </w:tcPr>
          <w:p>
            <w:r>
              <w:rPr>
                <w:b w:val="false"/>
                <w:bCs w:val="false"/>
                <w:sz w:val="20"/>
                <w:szCs w:val="20"/>
              </w:rPr>
              <w:t xml:space="preserve">Name and contact details of the controller</w:t>
            </w:r>
          </w:p>
        </w:tc>
        <w:tc>
          <w:tcPr>
            <w:tcW w:type="dxa" w:w="1250"/>
            <w:tcMar>
              <w:top w:type="dxa" w:w="80"/>
              <w:left w:type="dxa" w:w="110"/>
              <w:bottom w:type="dxa" w:w="80"/>
              <w:right w:type="dxa" w:w="110"/>
            </w:tcMar>
          </w:tcPr>
          <w:p>
            <w:r>
              <w:rPr>
                <w:b w:val="false"/>
                <w:bCs w:val="false"/>
                <w:sz w:val="20"/>
                <w:szCs w:val="20"/>
              </w:rPr>
              <w:t xml:space="preserve">Always</w:t>
            </w:r>
          </w:p>
        </w:tc>
        <w:tc>
          <w:tcPr>
            <w:tcW w:type="dxa" w:w="2400"/>
            <w:tcMar>
              <w:top w:type="dxa" w:w="80"/>
              <w:left w:type="dxa" w:w="110"/>
              <w:bottom w:type="dxa" w:w="80"/>
              <w:right w:type="dxa" w:w="110"/>
            </w:tcMar>
          </w:tcPr>
          <w:p>
            <w:r>
              <w:rPr>
                <w:b w:val="false"/>
                <w:bCs w:val="false"/>
                <w:sz w:val="20"/>
                <w:szCs w:val="20"/>
              </w:rPr>
              <w:t xml:space="preserve">Front table; §1</w:t>
            </w:r>
          </w:p>
        </w:tc>
        <w:tc>
          <w:tcPr>
            <w:tcW w:type="dxa" w:w="3210"/>
            <w:tcMar>
              <w:top w:type="dxa" w:w="80"/>
              <w:left w:type="dxa" w:w="110"/>
              <w:bottom w:type="dxa" w:w="80"/>
              <w:right w:type="dxa" w:w="110"/>
            </w:tcMar>
          </w:tcPr>
          <w:p>
            <w:r>
              <w:rPr>
                <w:b w:val="false"/>
                <w:bCs w:val="false"/>
                <w:sz w:val="20"/>
                <w:szCs w:val="20"/>
              </w:rPr>
              <w:t xml:space="preserve">Covered</w:t>
            </w:r>
          </w:p>
        </w:tc>
      </w:tr>
      <w:tr>
        <w:trPr>
          <w:tblHeader w:val="false"/>
        </w:trPr>
        <w:tc>
          <w:tcPr>
            <w:tcW w:type="dxa" w:w="2500"/>
            <w:tcMar>
              <w:top w:type="dxa" w:w="80"/>
              <w:left w:type="dxa" w:w="110"/>
              <w:bottom w:type="dxa" w:w="80"/>
              <w:right w:type="dxa" w:w="110"/>
            </w:tcMar>
          </w:tcPr>
          <w:p>
            <w:r>
              <w:rPr>
                <w:b w:val="false"/>
                <w:bCs w:val="false"/>
                <w:sz w:val="20"/>
                <w:szCs w:val="20"/>
              </w:rPr>
              <w:t xml:space="preserve">Representative's details</w:t>
            </w:r>
          </w:p>
        </w:tc>
        <w:tc>
          <w:tcPr>
            <w:tcW w:type="dxa" w:w="1250"/>
            <w:tcMar>
              <w:top w:type="dxa" w:w="80"/>
              <w:left w:type="dxa" w:w="110"/>
              <w:bottom w:type="dxa" w:w="80"/>
              <w:right w:type="dxa" w:w="110"/>
            </w:tcMar>
          </w:tcPr>
          <w:p>
            <w:r>
              <w:rPr>
                <w:b w:val="false"/>
                <w:bCs w:val="false"/>
                <w:sz w:val="20"/>
                <w:szCs w:val="20"/>
              </w:rPr>
              <w:t xml:space="preserve">If applicable</w:t>
            </w:r>
          </w:p>
        </w:tc>
        <w:tc>
          <w:tcPr>
            <w:tcW w:type="dxa" w:w="2400"/>
            <w:tcMar>
              <w:top w:type="dxa" w:w="80"/>
              <w:left w:type="dxa" w:w="110"/>
              <w:bottom w:type="dxa" w:w="80"/>
              <w:right w:type="dxa" w:w="110"/>
            </w:tcMar>
          </w:tcPr>
          <w:p>
            <w:r>
              <w:rPr>
                <w:b w:val="false"/>
                <w:bCs w:val="false"/>
                <w:sz w:val="20"/>
                <w:szCs w:val="20"/>
              </w:rPr>
              <w:t xml:space="preserve">—</w:t>
            </w:r>
          </w:p>
        </w:tc>
        <w:tc>
          <w:tcPr>
            <w:tcW w:type="dxa" w:w="3210"/>
            <w:tcMar>
              <w:top w:type="dxa" w:w="80"/>
              <w:left w:type="dxa" w:w="110"/>
              <w:bottom w:type="dxa" w:w="80"/>
              <w:right w:type="dxa" w:w="110"/>
            </w:tcMar>
          </w:tcPr>
          <w:p>
            <w:r>
              <w:rPr>
                <w:b w:val="false"/>
                <w:bCs w:val="false"/>
                <w:sz w:val="20"/>
                <w:szCs w:val="20"/>
              </w:rPr>
              <w:t xml:space="preserve">Not applicable — UK-based controller</w:t>
            </w:r>
          </w:p>
        </w:tc>
      </w:tr>
      <w:tr>
        <w:trPr>
          <w:tblHeader w:val="false"/>
        </w:trPr>
        <w:tc>
          <w:tcPr>
            <w:tcW w:type="dxa" w:w="2500"/>
            <w:tcMar>
              <w:top w:type="dxa" w:w="80"/>
              <w:left w:type="dxa" w:w="110"/>
              <w:bottom w:type="dxa" w:w="80"/>
              <w:right w:type="dxa" w:w="110"/>
            </w:tcMar>
          </w:tcPr>
          <w:p>
            <w:r>
              <w:rPr>
                <w:b w:val="false"/>
                <w:bCs w:val="false"/>
                <w:sz w:val="20"/>
                <w:szCs w:val="20"/>
              </w:rPr>
              <w:t xml:space="preserve">Data protection officer</w:t>
            </w:r>
          </w:p>
        </w:tc>
        <w:tc>
          <w:tcPr>
            <w:tcW w:type="dxa" w:w="1250"/>
            <w:tcMar>
              <w:top w:type="dxa" w:w="80"/>
              <w:left w:type="dxa" w:w="110"/>
              <w:bottom w:type="dxa" w:w="80"/>
              <w:right w:type="dxa" w:w="110"/>
            </w:tcMar>
          </w:tcPr>
          <w:p>
            <w:r>
              <w:rPr>
                <w:b w:val="false"/>
                <w:bCs w:val="false"/>
                <w:sz w:val="20"/>
                <w:szCs w:val="20"/>
              </w:rPr>
              <w:t xml:space="preserve">If applicable</w:t>
            </w:r>
          </w:p>
        </w:tc>
        <w:tc>
          <w:tcPr>
            <w:tcW w:type="dxa" w:w="2400"/>
            <w:tcMar>
              <w:top w:type="dxa" w:w="80"/>
              <w:left w:type="dxa" w:w="110"/>
              <w:bottom w:type="dxa" w:w="80"/>
              <w:right w:type="dxa" w:w="110"/>
            </w:tcMar>
          </w:tcPr>
          <w:p>
            <w:r>
              <w:rPr>
                <w:b w:val="false"/>
                <w:bCs w:val="false"/>
                <w:sz w:val="20"/>
                <w:szCs w:val="20"/>
              </w:rPr>
              <w:t xml:space="preserve">§1</w:t>
            </w:r>
          </w:p>
        </w:tc>
        <w:tc>
          <w:tcPr>
            <w:tcW w:type="dxa" w:w="3210"/>
            <w:tcMar>
              <w:top w:type="dxa" w:w="80"/>
              <w:left w:type="dxa" w:w="110"/>
              <w:bottom w:type="dxa" w:w="80"/>
              <w:right w:type="dxa" w:w="110"/>
            </w:tcMar>
          </w:tcPr>
          <w:p>
            <w:r>
              <w:rPr>
                <w:b w:val="false"/>
                <w:bCs w:val="false"/>
                <w:sz w:val="20"/>
                <w:szCs w:val="20"/>
              </w:rPr>
              <w:t xml:space="preserve">Covered by exception — states none appointed and why</w:t>
            </w:r>
          </w:p>
        </w:tc>
      </w:tr>
      <w:tr>
        <w:trPr>
          <w:tblHeader w:val="false"/>
        </w:trPr>
        <w:tc>
          <w:tcPr>
            <w:tcW w:type="dxa" w:w="2500"/>
            <w:tcMar>
              <w:top w:type="dxa" w:w="80"/>
              <w:left w:type="dxa" w:w="110"/>
              <w:bottom w:type="dxa" w:w="80"/>
              <w:right w:type="dxa" w:w="110"/>
            </w:tcMar>
          </w:tcPr>
          <w:p>
            <w:r>
              <w:rPr>
                <w:b w:val="false"/>
                <w:bCs w:val="false"/>
                <w:sz w:val="20"/>
                <w:szCs w:val="20"/>
              </w:rPr>
              <w:t xml:space="preserve">Purposes of the processing</w:t>
            </w:r>
          </w:p>
        </w:tc>
        <w:tc>
          <w:tcPr>
            <w:tcW w:type="dxa" w:w="1250"/>
            <w:tcMar>
              <w:top w:type="dxa" w:w="80"/>
              <w:left w:type="dxa" w:w="110"/>
              <w:bottom w:type="dxa" w:w="80"/>
              <w:right w:type="dxa" w:w="110"/>
            </w:tcMar>
          </w:tcPr>
          <w:p>
            <w:r>
              <w:rPr>
                <w:b w:val="false"/>
                <w:bCs w:val="false"/>
                <w:sz w:val="20"/>
                <w:szCs w:val="20"/>
              </w:rPr>
              <w:t xml:space="preserve">Always</w:t>
            </w:r>
          </w:p>
        </w:tc>
        <w:tc>
          <w:tcPr>
            <w:tcW w:type="dxa" w:w="2400"/>
            <w:tcMar>
              <w:top w:type="dxa" w:w="80"/>
              <w:left w:type="dxa" w:w="110"/>
              <w:bottom w:type="dxa" w:w="80"/>
              <w:right w:type="dxa" w:w="110"/>
            </w:tcMar>
          </w:tcPr>
          <w:p>
            <w:r>
              <w:rPr>
                <w:b w:val="false"/>
                <w:bCs w:val="false"/>
                <w:sz w:val="20"/>
                <w:szCs w:val="20"/>
              </w:rPr>
              <w:t xml:space="preserve">§2, §3 table</w:t>
            </w:r>
          </w:p>
        </w:tc>
        <w:tc>
          <w:tcPr>
            <w:tcW w:type="dxa" w:w="3210"/>
            <w:tcMar>
              <w:top w:type="dxa" w:w="80"/>
              <w:left w:type="dxa" w:w="110"/>
              <w:bottom w:type="dxa" w:w="80"/>
              <w:right w:type="dxa" w:w="110"/>
            </w:tcMar>
          </w:tcPr>
          <w:p>
            <w:r>
              <w:rPr>
                <w:b w:val="false"/>
                <w:bCs w:val="false"/>
                <w:sz w:val="20"/>
                <w:szCs w:val="20"/>
              </w:rPr>
              <w:t xml:space="preserve">Covered — each purpose stated separately</w:t>
            </w:r>
          </w:p>
        </w:tc>
      </w:tr>
      <w:tr>
        <w:trPr>
          <w:tblHeader w:val="false"/>
        </w:trPr>
        <w:tc>
          <w:tcPr>
            <w:tcW w:type="dxa" w:w="2500"/>
            <w:tcMar>
              <w:top w:type="dxa" w:w="80"/>
              <w:left w:type="dxa" w:w="110"/>
              <w:bottom w:type="dxa" w:w="80"/>
              <w:right w:type="dxa" w:w="110"/>
            </w:tcMar>
          </w:tcPr>
          <w:p>
            <w:r>
              <w:rPr>
                <w:b w:val="false"/>
                <w:bCs w:val="false"/>
                <w:sz w:val="20"/>
                <w:szCs w:val="20"/>
              </w:rPr>
              <w:t xml:space="preserve">Lawful basis</w:t>
            </w:r>
          </w:p>
        </w:tc>
        <w:tc>
          <w:tcPr>
            <w:tcW w:type="dxa" w:w="1250"/>
            <w:tcMar>
              <w:top w:type="dxa" w:w="80"/>
              <w:left w:type="dxa" w:w="110"/>
              <w:bottom w:type="dxa" w:w="80"/>
              <w:right w:type="dxa" w:w="110"/>
            </w:tcMar>
          </w:tcPr>
          <w:p>
            <w:r>
              <w:rPr>
                <w:b w:val="false"/>
                <w:bCs w:val="false"/>
                <w:sz w:val="20"/>
                <w:szCs w:val="20"/>
              </w:rPr>
              <w:t xml:space="preserve">Always</w:t>
            </w:r>
          </w:p>
        </w:tc>
        <w:tc>
          <w:tcPr>
            <w:tcW w:type="dxa" w:w="2400"/>
            <w:tcMar>
              <w:top w:type="dxa" w:w="80"/>
              <w:left w:type="dxa" w:w="110"/>
              <w:bottom w:type="dxa" w:w="80"/>
              <w:right w:type="dxa" w:w="110"/>
            </w:tcMar>
          </w:tcPr>
          <w:p>
            <w:r>
              <w:rPr>
                <w:b w:val="false"/>
                <w:bCs w:val="false"/>
                <w:sz w:val="20"/>
                <w:szCs w:val="20"/>
              </w:rPr>
              <w:t xml:space="preserve">§3 table</w:t>
            </w:r>
          </w:p>
        </w:tc>
        <w:tc>
          <w:tcPr>
            <w:tcW w:type="dxa" w:w="3210"/>
            <w:tcMar>
              <w:top w:type="dxa" w:w="80"/>
              <w:left w:type="dxa" w:w="110"/>
              <w:bottom w:type="dxa" w:w="80"/>
              <w:right w:type="dxa" w:w="110"/>
            </w:tcMar>
          </w:tcPr>
          <w:p>
            <w:r>
              <w:rPr>
                <w:b w:val="false"/>
                <w:bCs w:val="false"/>
                <w:sz w:val="20"/>
                <w:szCs w:val="20"/>
              </w:rPr>
              <w:t xml:space="preserve">Covered — Art. 6 and Art. 9 shown as separate columns</w:t>
            </w:r>
          </w:p>
        </w:tc>
      </w:tr>
      <w:tr>
        <w:trPr>
          <w:tblHeader w:val="false"/>
        </w:trPr>
        <w:tc>
          <w:tcPr>
            <w:tcW w:type="dxa" w:w="2500"/>
            <w:tcMar>
              <w:top w:type="dxa" w:w="80"/>
              <w:left w:type="dxa" w:w="110"/>
              <w:bottom w:type="dxa" w:w="80"/>
              <w:right w:type="dxa" w:w="110"/>
            </w:tcMar>
          </w:tcPr>
          <w:p>
            <w:r>
              <w:rPr>
                <w:b w:val="false"/>
                <w:bCs w:val="false"/>
                <w:sz w:val="20"/>
                <w:szCs w:val="20"/>
              </w:rPr>
              <w:t xml:space="preserve">Legitimate interests, where relied on</w:t>
            </w:r>
          </w:p>
        </w:tc>
        <w:tc>
          <w:tcPr>
            <w:tcW w:type="dxa" w:w="1250"/>
            <w:tcMar>
              <w:top w:type="dxa" w:w="80"/>
              <w:left w:type="dxa" w:w="110"/>
              <w:bottom w:type="dxa" w:w="80"/>
              <w:right w:type="dxa" w:w="110"/>
            </w:tcMar>
          </w:tcPr>
          <w:p>
            <w:r>
              <w:rPr>
                <w:b w:val="false"/>
                <w:bCs w:val="false"/>
                <w:sz w:val="20"/>
                <w:szCs w:val="20"/>
              </w:rPr>
              <w:t xml:space="preserve">If applicable</w:t>
            </w:r>
          </w:p>
        </w:tc>
        <w:tc>
          <w:tcPr>
            <w:tcW w:type="dxa" w:w="2400"/>
            <w:tcMar>
              <w:top w:type="dxa" w:w="80"/>
              <w:left w:type="dxa" w:w="110"/>
              <w:bottom w:type="dxa" w:w="80"/>
              <w:right w:type="dxa" w:w="110"/>
            </w:tcMar>
          </w:tcPr>
          <w:p>
            <w:r>
              <w:rPr>
                <w:b w:val="false"/>
                <w:bCs w:val="false"/>
                <w:sz w:val="20"/>
                <w:szCs w:val="20"/>
              </w:rPr>
              <w:t xml:space="preserve">§3, paragraph after table</w:t>
            </w:r>
          </w:p>
        </w:tc>
        <w:tc>
          <w:tcPr>
            <w:tcW w:type="dxa" w:w="3210"/>
            <w:tcMar>
              <w:top w:type="dxa" w:w="80"/>
              <w:left w:type="dxa" w:w="110"/>
              <w:bottom w:type="dxa" w:w="80"/>
              <w:right w:type="dxa" w:w="110"/>
            </w:tcMar>
          </w:tcPr>
          <w:p>
            <w:r>
              <w:rPr>
                <w:b w:val="false"/>
                <w:bCs w:val="false"/>
                <w:sz w:val="20"/>
                <w:szCs w:val="20"/>
              </w:rPr>
              <w:t xml:space="preserve">Covered — the three interests are named</w:t>
            </w:r>
          </w:p>
        </w:tc>
      </w:tr>
      <w:tr>
        <w:trPr>
          <w:tblHeader w:val="false"/>
        </w:trPr>
        <w:tc>
          <w:tcPr>
            <w:tcW w:type="dxa" w:w="2500"/>
            <w:tcMar>
              <w:top w:type="dxa" w:w="80"/>
              <w:left w:type="dxa" w:w="110"/>
              <w:bottom w:type="dxa" w:w="80"/>
              <w:right w:type="dxa" w:w="110"/>
            </w:tcMar>
          </w:tcPr>
          <w:p>
            <w:r>
              <w:rPr>
                <w:b w:val="false"/>
                <w:bCs w:val="false"/>
                <w:sz w:val="20"/>
                <w:szCs w:val="20"/>
              </w:rPr>
              <w:t xml:space="preserve">Recipients or categories of recipient</w:t>
            </w:r>
          </w:p>
        </w:tc>
        <w:tc>
          <w:tcPr>
            <w:tcW w:type="dxa" w:w="1250"/>
            <w:tcMar>
              <w:top w:type="dxa" w:w="80"/>
              <w:left w:type="dxa" w:w="110"/>
              <w:bottom w:type="dxa" w:w="80"/>
              <w:right w:type="dxa" w:w="110"/>
            </w:tcMar>
          </w:tcPr>
          <w:p>
            <w:r>
              <w:rPr>
                <w:b w:val="false"/>
                <w:bCs w:val="false"/>
                <w:sz w:val="20"/>
                <w:szCs w:val="20"/>
              </w:rPr>
              <w:t xml:space="preserve">If applicable</w:t>
            </w:r>
          </w:p>
        </w:tc>
        <w:tc>
          <w:tcPr>
            <w:tcW w:type="dxa" w:w="2400"/>
            <w:tcMar>
              <w:top w:type="dxa" w:w="80"/>
              <w:left w:type="dxa" w:w="110"/>
              <w:bottom w:type="dxa" w:w="80"/>
              <w:right w:type="dxa" w:w="110"/>
            </w:tcMar>
          </w:tcPr>
          <w:p>
            <w:r>
              <w:rPr>
                <w:b w:val="false"/>
                <w:bCs w:val="false"/>
                <w:sz w:val="20"/>
                <w:szCs w:val="20"/>
              </w:rPr>
              <w:t xml:space="preserve">§8</w:t>
            </w:r>
          </w:p>
        </w:tc>
        <w:tc>
          <w:tcPr>
            <w:tcW w:type="dxa" w:w="3210"/>
            <w:tcMar>
              <w:top w:type="dxa" w:w="80"/>
              <w:left w:type="dxa" w:w="110"/>
              <w:bottom w:type="dxa" w:w="80"/>
              <w:right w:type="dxa" w:w="110"/>
            </w:tcMar>
          </w:tcPr>
          <w:p>
            <w:r>
              <w:rPr>
                <w:b w:val="false"/>
                <w:bCs w:val="false"/>
                <w:sz w:val="20"/>
                <w:szCs w:val="20"/>
              </w:rPr>
              <w:t xml:space="preserve">Covered — named suppliers, not categories</w:t>
            </w:r>
          </w:p>
        </w:tc>
      </w:tr>
      <w:tr>
        <w:trPr>
          <w:tblHeader w:val="false"/>
        </w:trPr>
        <w:tc>
          <w:tcPr>
            <w:tcW w:type="dxa" w:w="2500"/>
            <w:tcMar>
              <w:top w:type="dxa" w:w="80"/>
              <w:left w:type="dxa" w:w="110"/>
              <w:bottom w:type="dxa" w:w="80"/>
              <w:right w:type="dxa" w:w="110"/>
            </w:tcMar>
          </w:tcPr>
          <w:p>
            <w:r>
              <w:rPr>
                <w:b w:val="false"/>
                <w:bCs w:val="false"/>
                <w:sz w:val="20"/>
                <w:szCs w:val="20"/>
              </w:rPr>
              <w:t xml:space="preserve">Transfers to third countries</w:t>
            </w:r>
          </w:p>
        </w:tc>
        <w:tc>
          <w:tcPr>
            <w:tcW w:type="dxa" w:w="1250"/>
            <w:tcMar>
              <w:top w:type="dxa" w:w="80"/>
              <w:left w:type="dxa" w:w="110"/>
              <w:bottom w:type="dxa" w:w="80"/>
              <w:right w:type="dxa" w:w="110"/>
            </w:tcMar>
          </w:tcPr>
          <w:p>
            <w:r>
              <w:rPr>
                <w:b w:val="false"/>
                <w:bCs w:val="false"/>
                <w:sz w:val="20"/>
                <w:szCs w:val="20"/>
              </w:rPr>
              <w:t xml:space="preserve">If applicable</w:t>
            </w:r>
          </w:p>
        </w:tc>
        <w:tc>
          <w:tcPr>
            <w:tcW w:type="dxa" w:w="2400"/>
            <w:tcMar>
              <w:top w:type="dxa" w:w="80"/>
              <w:left w:type="dxa" w:w="110"/>
              <w:bottom w:type="dxa" w:w="80"/>
              <w:right w:type="dxa" w:w="110"/>
            </w:tcMar>
          </w:tcPr>
          <w:p>
            <w:r>
              <w:rPr>
                <w:b w:val="false"/>
                <w:bCs w:val="false"/>
                <w:sz w:val="20"/>
                <w:szCs w:val="20"/>
              </w:rPr>
              <w:t xml:space="preserve">§7</w:t>
            </w:r>
          </w:p>
        </w:tc>
        <w:tc>
          <w:tcPr>
            <w:tcW w:type="dxa" w:w="3210"/>
            <w:tcMar>
              <w:top w:type="dxa" w:w="80"/>
              <w:left w:type="dxa" w:w="110"/>
              <w:bottom w:type="dxa" w:w="80"/>
              <w:right w:type="dxa" w:w="110"/>
            </w:tcMar>
          </w:tcPr>
          <w:p>
            <w:r>
              <w:rPr>
                <w:b w:val="false"/>
                <w:bCs w:val="false"/>
                <w:sz w:val="20"/>
                <w:szCs w:val="20"/>
              </w:rPr>
              <w:t xml:space="preserve">Present but incomplete — mechanism per supplier TO CONFIRM</w:t>
            </w:r>
          </w:p>
        </w:tc>
      </w:tr>
      <w:tr>
        <w:trPr>
          <w:tblHeader w:val="false"/>
        </w:trPr>
        <w:tc>
          <w:tcPr>
            <w:tcW w:type="dxa" w:w="2500"/>
            <w:tcMar>
              <w:top w:type="dxa" w:w="80"/>
              <w:left w:type="dxa" w:w="110"/>
              <w:bottom w:type="dxa" w:w="80"/>
              <w:right w:type="dxa" w:w="110"/>
            </w:tcMar>
          </w:tcPr>
          <w:p>
            <w:r>
              <w:rPr>
                <w:b w:val="false"/>
                <w:bCs w:val="false"/>
                <w:sz w:val="20"/>
                <w:szCs w:val="20"/>
              </w:rPr>
              <w:t xml:space="preserve">Retention periods, or the criteria used</w:t>
            </w:r>
          </w:p>
        </w:tc>
        <w:tc>
          <w:tcPr>
            <w:tcW w:type="dxa" w:w="1250"/>
            <w:tcMar>
              <w:top w:type="dxa" w:w="80"/>
              <w:left w:type="dxa" w:w="110"/>
              <w:bottom w:type="dxa" w:w="80"/>
              <w:right w:type="dxa" w:w="110"/>
            </w:tcMar>
          </w:tcPr>
          <w:p>
            <w:r>
              <w:rPr>
                <w:b w:val="false"/>
                <w:bCs w:val="false"/>
                <w:sz w:val="20"/>
                <w:szCs w:val="20"/>
              </w:rPr>
              <w:t xml:space="preserve">Always</w:t>
            </w:r>
          </w:p>
        </w:tc>
        <w:tc>
          <w:tcPr>
            <w:tcW w:type="dxa" w:w="2400"/>
            <w:tcMar>
              <w:top w:type="dxa" w:w="80"/>
              <w:left w:type="dxa" w:w="110"/>
              <w:bottom w:type="dxa" w:w="80"/>
              <w:right w:type="dxa" w:w="110"/>
            </w:tcMar>
          </w:tcPr>
          <w:p>
            <w:r>
              <w:rPr>
                <w:b w:val="false"/>
                <w:bCs w:val="false"/>
                <w:sz w:val="20"/>
                <w:szCs w:val="20"/>
              </w:rPr>
              <w:t xml:space="preserve">§9</w:t>
            </w:r>
          </w:p>
        </w:tc>
        <w:tc>
          <w:tcPr>
            <w:tcW w:type="dxa" w:w="3210"/>
            <w:tcMar>
              <w:top w:type="dxa" w:w="80"/>
              <w:left w:type="dxa" w:w="110"/>
              <w:bottom w:type="dxa" w:w="80"/>
              <w:right w:type="dxa" w:w="110"/>
            </w:tcMar>
          </w:tcPr>
          <w:p>
            <w:r>
              <w:rPr>
                <w:b w:val="false"/>
                <w:bCs w:val="false"/>
                <w:sz w:val="20"/>
                <w:szCs w:val="20"/>
              </w:rPr>
              <w:t xml:space="preserve">Covered — specific periods given</w:t>
            </w:r>
          </w:p>
        </w:tc>
      </w:tr>
      <w:tr>
        <w:trPr>
          <w:tblHeader w:val="false"/>
        </w:trPr>
        <w:tc>
          <w:tcPr>
            <w:tcW w:type="dxa" w:w="2500"/>
            <w:tcMar>
              <w:top w:type="dxa" w:w="80"/>
              <w:left w:type="dxa" w:w="110"/>
              <w:bottom w:type="dxa" w:w="80"/>
              <w:right w:type="dxa" w:w="110"/>
            </w:tcMar>
          </w:tcPr>
          <w:p>
            <w:r>
              <w:rPr>
                <w:b w:val="false"/>
                <w:bCs w:val="false"/>
                <w:sz w:val="20"/>
                <w:szCs w:val="20"/>
              </w:rPr>
              <w:t xml:space="preserve">Rights available</w:t>
            </w:r>
          </w:p>
        </w:tc>
        <w:tc>
          <w:tcPr>
            <w:tcW w:type="dxa" w:w="1250"/>
            <w:tcMar>
              <w:top w:type="dxa" w:w="80"/>
              <w:left w:type="dxa" w:w="110"/>
              <w:bottom w:type="dxa" w:w="80"/>
              <w:right w:type="dxa" w:w="110"/>
            </w:tcMar>
          </w:tcPr>
          <w:p>
            <w:r>
              <w:rPr>
                <w:b w:val="false"/>
                <w:bCs w:val="false"/>
                <w:sz w:val="20"/>
                <w:szCs w:val="20"/>
              </w:rPr>
              <w:t xml:space="preserve">Always</w:t>
            </w:r>
          </w:p>
        </w:tc>
        <w:tc>
          <w:tcPr>
            <w:tcW w:type="dxa" w:w="2400"/>
            <w:tcMar>
              <w:top w:type="dxa" w:w="80"/>
              <w:left w:type="dxa" w:w="110"/>
              <w:bottom w:type="dxa" w:w="80"/>
              <w:right w:type="dxa" w:w="110"/>
            </w:tcMar>
          </w:tcPr>
          <w:p>
            <w:r>
              <w:rPr>
                <w:b w:val="false"/>
                <w:bCs w:val="false"/>
                <w:sz w:val="20"/>
                <w:szCs w:val="20"/>
              </w:rPr>
              <w:t xml:space="preserve">§10</w:t>
            </w:r>
          </w:p>
        </w:tc>
        <w:tc>
          <w:tcPr>
            <w:tcW w:type="dxa" w:w="3210"/>
            <w:tcMar>
              <w:top w:type="dxa" w:w="80"/>
              <w:left w:type="dxa" w:w="110"/>
              <w:bottom w:type="dxa" w:w="80"/>
              <w:right w:type="dxa" w:w="110"/>
            </w:tcMar>
          </w:tcPr>
          <w:p>
            <w:r>
              <w:rPr>
                <w:b w:val="false"/>
                <w:bCs w:val="false"/>
                <w:sz w:val="20"/>
                <w:szCs w:val="20"/>
              </w:rPr>
              <w:t xml:space="preserve">Covered — including restriction, which v3 omitted</w:t>
            </w:r>
          </w:p>
        </w:tc>
      </w:tr>
      <w:tr>
        <w:trPr>
          <w:tblHeader w:val="false"/>
        </w:trPr>
        <w:tc>
          <w:tcPr>
            <w:tcW w:type="dxa" w:w="2500"/>
            <w:tcMar>
              <w:top w:type="dxa" w:w="80"/>
              <w:left w:type="dxa" w:w="110"/>
              <w:bottom w:type="dxa" w:w="80"/>
              <w:right w:type="dxa" w:w="110"/>
            </w:tcMar>
          </w:tcPr>
          <w:p>
            <w:r>
              <w:rPr>
                <w:b w:val="false"/>
                <w:bCs w:val="false"/>
                <w:sz w:val="20"/>
                <w:szCs w:val="20"/>
              </w:rPr>
              <w:t xml:space="preserve">Right to object, brought to attention separately</w:t>
            </w:r>
          </w:p>
        </w:tc>
        <w:tc>
          <w:tcPr>
            <w:tcW w:type="dxa" w:w="1250"/>
            <w:tcMar>
              <w:top w:type="dxa" w:w="80"/>
              <w:left w:type="dxa" w:w="110"/>
              <w:bottom w:type="dxa" w:w="80"/>
              <w:right w:type="dxa" w:w="110"/>
            </w:tcMar>
          </w:tcPr>
          <w:p>
            <w:r>
              <w:rPr>
                <w:b w:val="false"/>
                <w:bCs w:val="false"/>
                <w:sz w:val="20"/>
                <w:szCs w:val="20"/>
              </w:rPr>
              <w:t xml:space="preserve">Always</w:t>
            </w:r>
          </w:p>
        </w:tc>
        <w:tc>
          <w:tcPr>
            <w:tcW w:type="dxa" w:w="2400"/>
            <w:tcMar>
              <w:top w:type="dxa" w:w="80"/>
              <w:left w:type="dxa" w:w="110"/>
              <w:bottom w:type="dxa" w:w="80"/>
              <w:right w:type="dxa" w:w="110"/>
            </w:tcMar>
          </w:tcPr>
          <w:p>
            <w:r>
              <w:rPr>
                <w:b w:val="false"/>
                <w:bCs w:val="false"/>
                <w:sz w:val="20"/>
                <w:szCs w:val="20"/>
              </w:rPr>
              <w:t xml:space="preserve">§10, own sub-heading</w:t>
            </w:r>
          </w:p>
        </w:tc>
        <w:tc>
          <w:tcPr>
            <w:tcW w:type="dxa" w:w="3210"/>
            <w:tcMar>
              <w:top w:type="dxa" w:w="80"/>
              <w:left w:type="dxa" w:w="110"/>
              <w:bottom w:type="dxa" w:w="80"/>
              <w:right w:type="dxa" w:w="110"/>
            </w:tcMar>
          </w:tcPr>
          <w:p>
            <w:r>
              <w:rPr>
                <w:b w:val="false"/>
                <w:bCs w:val="false"/>
                <w:sz w:val="20"/>
                <w:szCs w:val="20"/>
              </w:rPr>
              <w:t xml:space="preserve">Covered — deliberately separated, not left in the list</w:t>
            </w:r>
          </w:p>
        </w:tc>
      </w:tr>
      <w:tr>
        <w:trPr>
          <w:tblHeader w:val="false"/>
        </w:trPr>
        <w:tc>
          <w:tcPr>
            <w:tcW w:type="dxa" w:w="2500"/>
            <w:tcMar>
              <w:top w:type="dxa" w:w="80"/>
              <w:left w:type="dxa" w:w="110"/>
              <w:bottom w:type="dxa" w:w="80"/>
              <w:right w:type="dxa" w:w="110"/>
            </w:tcMar>
          </w:tcPr>
          <w:p>
            <w:r>
              <w:rPr>
                <w:b w:val="false"/>
                <w:bCs w:val="false"/>
                <w:sz w:val="20"/>
                <w:szCs w:val="20"/>
              </w:rPr>
              <w:t xml:space="preserve">Right to withdraw consent</w:t>
            </w:r>
          </w:p>
        </w:tc>
        <w:tc>
          <w:tcPr>
            <w:tcW w:type="dxa" w:w="1250"/>
            <w:tcMar>
              <w:top w:type="dxa" w:w="80"/>
              <w:left w:type="dxa" w:w="110"/>
              <w:bottom w:type="dxa" w:w="80"/>
              <w:right w:type="dxa" w:w="110"/>
            </w:tcMar>
          </w:tcPr>
          <w:p>
            <w:r>
              <w:rPr>
                <w:b w:val="false"/>
                <w:bCs w:val="false"/>
                <w:sz w:val="20"/>
                <w:szCs w:val="20"/>
              </w:rPr>
              <w:t xml:space="preserve">If applicable</w:t>
            </w:r>
          </w:p>
        </w:tc>
        <w:tc>
          <w:tcPr>
            <w:tcW w:type="dxa" w:w="2400"/>
            <w:tcMar>
              <w:top w:type="dxa" w:w="80"/>
              <w:left w:type="dxa" w:w="110"/>
              <w:bottom w:type="dxa" w:w="80"/>
              <w:right w:type="dxa" w:w="110"/>
            </w:tcMar>
          </w:tcPr>
          <w:p>
            <w:r>
              <w:rPr>
                <w:b w:val="false"/>
                <w:bCs w:val="false"/>
                <w:sz w:val="20"/>
                <w:szCs w:val="20"/>
              </w:rPr>
              <w:t xml:space="preserve">§3 closing paragraph; §10</w:t>
            </w:r>
          </w:p>
        </w:tc>
        <w:tc>
          <w:tcPr>
            <w:tcW w:type="dxa" w:w="3210"/>
            <w:tcMar>
              <w:top w:type="dxa" w:w="80"/>
              <w:left w:type="dxa" w:w="110"/>
              <w:bottom w:type="dxa" w:w="80"/>
              <w:right w:type="dxa" w:w="110"/>
            </w:tcMar>
          </w:tcPr>
          <w:p>
            <w:r>
              <w:rPr>
                <w:b w:val="false"/>
                <w:bCs w:val="false"/>
                <w:sz w:val="20"/>
                <w:szCs w:val="20"/>
              </w:rPr>
              <w:t xml:space="preserve">Covered — and states it is as easy to withdraw as to give</w:t>
            </w:r>
          </w:p>
        </w:tc>
      </w:tr>
      <w:tr>
        <w:trPr>
          <w:tblHeader w:val="false"/>
        </w:trPr>
        <w:tc>
          <w:tcPr>
            <w:tcW w:type="dxa" w:w="2500"/>
            <w:tcMar>
              <w:top w:type="dxa" w:w="80"/>
              <w:left w:type="dxa" w:w="110"/>
              <w:bottom w:type="dxa" w:w="80"/>
              <w:right w:type="dxa" w:w="110"/>
            </w:tcMar>
          </w:tcPr>
          <w:p>
            <w:r>
              <w:rPr>
                <w:b w:val="false"/>
                <w:bCs w:val="false"/>
                <w:sz w:val="20"/>
                <w:szCs w:val="20"/>
              </w:rPr>
              <w:t xml:space="preserve">Right to complain to a supervisory authority</w:t>
            </w:r>
          </w:p>
        </w:tc>
        <w:tc>
          <w:tcPr>
            <w:tcW w:type="dxa" w:w="1250"/>
            <w:tcMar>
              <w:top w:type="dxa" w:w="80"/>
              <w:left w:type="dxa" w:w="110"/>
              <w:bottom w:type="dxa" w:w="80"/>
              <w:right w:type="dxa" w:w="110"/>
            </w:tcMar>
          </w:tcPr>
          <w:p>
            <w:r>
              <w:rPr>
                <w:b w:val="false"/>
                <w:bCs w:val="false"/>
                <w:sz w:val="20"/>
                <w:szCs w:val="20"/>
              </w:rPr>
              <w:t xml:space="preserve">Always</w:t>
            </w:r>
          </w:p>
        </w:tc>
        <w:tc>
          <w:tcPr>
            <w:tcW w:type="dxa" w:w="2400"/>
            <w:tcMar>
              <w:top w:type="dxa" w:w="80"/>
              <w:left w:type="dxa" w:w="110"/>
              <w:bottom w:type="dxa" w:w="80"/>
              <w:right w:type="dxa" w:w="110"/>
            </w:tcMar>
          </w:tcPr>
          <w:p>
            <w:r>
              <w:rPr>
                <w:b w:val="false"/>
                <w:bCs w:val="false"/>
                <w:sz w:val="20"/>
                <w:szCs w:val="20"/>
              </w:rPr>
              <w:t xml:space="preserve">§15</w:t>
            </w:r>
          </w:p>
        </w:tc>
        <w:tc>
          <w:tcPr>
            <w:tcW w:type="dxa" w:w="3210"/>
            <w:tcMar>
              <w:top w:type="dxa" w:w="80"/>
              <w:left w:type="dxa" w:w="110"/>
              <w:bottom w:type="dxa" w:w="80"/>
              <w:right w:type="dxa" w:w="110"/>
            </w:tcMar>
          </w:tcPr>
          <w:p>
            <w:r>
              <w:rPr>
                <w:b w:val="false"/>
                <w:bCs w:val="false"/>
                <w:sz w:val="20"/>
                <w:szCs w:val="20"/>
              </w:rPr>
              <w:t xml:space="preserve">Covered — plus the new right to complain to us</w:t>
            </w:r>
          </w:p>
        </w:tc>
      </w:tr>
      <w:tr>
        <w:trPr>
          <w:tblHeader w:val="false"/>
        </w:trPr>
        <w:tc>
          <w:tcPr>
            <w:tcW w:type="dxa" w:w="2500"/>
            <w:tcMar>
              <w:top w:type="dxa" w:w="80"/>
              <w:left w:type="dxa" w:w="110"/>
              <w:bottom w:type="dxa" w:w="80"/>
              <w:right w:type="dxa" w:w="110"/>
            </w:tcMar>
          </w:tcPr>
          <w:p>
            <w:r>
              <w:rPr>
                <w:b w:val="false"/>
                <w:bCs w:val="false"/>
                <w:sz w:val="20"/>
                <w:szCs w:val="20"/>
              </w:rPr>
              <w:t xml:space="preserve">Whether providing data is a statutory or contractual requirement, and consequences</w:t>
            </w:r>
          </w:p>
        </w:tc>
        <w:tc>
          <w:tcPr>
            <w:tcW w:type="dxa" w:w="1250"/>
            <w:tcMar>
              <w:top w:type="dxa" w:w="80"/>
              <w:left w:type="dxa" w:w="110"/>
              <w:bottom w:type="dxa" w:w="80"/>
              <w:right w:type="dxa" w:w="110"/>
            </w:tcMar>
          </w:tcPr>
          <w:p>
            <w:r>
              <w:rPr>
                <w:b w:val="false"/>
                <w:bCs w:val="false"/>
                <w:sz w:val="20"/>
                <w:szCs w:val="20"/>
              </w:rPr>
              <w:t xml:space="preserve">If applicable</w:t>
            </w:r>
          </w:p>
        </w:tc>
        <w:tc>
          <w:tcPr>
            <w:tcW w:type="dxa" w:w="2400"/>
            <w:tcMar>
              <w:top w:type="dxa" w:w="80"/>
              <w:left w:type="dxa" w:w="110"/>
              <w:bottom w:type="dxa" w:w="80"/>
              <w:right w:type="dxa" w:w="110"/>
            </w:tcMar>
          </w:tcPr>
          <w:p>
            <w:r>
              <w:rPr>
                <w:b w:val="false"/>
                <w:bCs w:val="false"/>
                <w:sz w:val="20"/>
                <w:szCs w:val="20"/>
              </w:rPr>
              <w:t xml:space="preserve">§2, health and wellbeing</w:t>
            </w:r>
          </w:p>
        </w:tc>
        <w:tc>
          <w:tcPr>
            <w:tcW w:type="dxa" w:w="3210"/>
            <w:tcMar>
              <w:top w:type="dxa" w:w="80"/>
              <w:left w:type="dxa" w:w="110"/>
              <w:bottom w:type="dxa" w:w="80"/>
              <w:right w:type="dxa" w:w="110"/>
            </w:tcMar>
          </w:tcPr>
          <w:p>
            <w:r>
              <w:rPr>
                <w:b w:val="false"/>
                <w:bCs w:val="false"/>
                <w:sz w:val="20"/>
                <w:szCs w:val="20"/>
              </w:rPr>
              <w:t xml:space="preserve">Covered — states the app works without it and what changes</w:t>
            </w:r>
          </w:p>
        </w:tc>
      </w:tr>
      <w:tr>
        <w:trPr>
          <w:tblHeader w:val="false"/>
        </w:trPr>
        <w:tc>
          <w:tcPr>
            <w:tcW w:type="dxa" w:w="2500"/>
            <w:tcMar>
              <w:top w:type="dxa" w:w="80"/>
              <w:left w:type="dxa" w:w="110"/>
              <w:bottom w:type="dxa" w:w="80"/>
              <w:right w:type="dxa" w:w="110"/>
            </w:tcMar>
          </w:tcPr>
          <w:p>
            <w:r>
              <w:rPr>
                <w:b w:val="false"/>
                <w:bCs w:val="false"/>
                <w:sz w:val="20"/>
                <w:szCs w:val="20"/>
              </w:rPr>
              <w:t xml:space="preserve">Existence of automated decision-making, including profiling</w:t>
            </w:r>
          </w:p>
        </w:tc>
        <w:tc>
          <w:tcPr>
            <w:tcW w:type="dxa" w:w="1250"/>
            <w:tcMar>
              <w:top w:type="dxa" w:w="80"/>
              <w:left w:type="dxa" w:w="110"/>
              <w:bottom w:type="dxa" w:w="80"/>
              <w:right w:type="dxa" w:w="110"/>
            </w:tcMar>
          </w:tcPr>
          <w:p>
            <w:r>
              <w:rPr>
                <w:b w:val="false"/>
                <w:bCs w:val="false"/>
                <w:sz w:val="20"/>
                <w:szCs w:val="20"/>
              </w:rPr>
              <w:t xml:space="preserve">If applicable</w:t>
            </w:r>
          </w:p>
        </w:tc>
        <w:tc>
          <w:tcPr>
            <w:tcW w:type="dxa" w:w="2400"/>
            <w:tcMar>
              <w:top w:type="dxa" w:w="80"/>
              <w:left w:type="dxa" w:w="110"/>
              <w:bottom w:type="dxa" w:w="80"/>
              <w:right w:type="dxa" w:w="110"/>
            </w:tcMar>
          </w:tcPr>
          <w:p>
            <w:r>
              <w:rPr>
                <w:b w:val="false"/>
                <w:bCs w:val="false"/>
                <w:sz w:val="20"/>
                <w:szCs w:val="20"/>
              </w:rPr>
              <w:t xml:space="preserve">§4</w:t>
            </w:r>
          </w:p>
        </w:tc>
        <w:tc>
          <w:tcPr>
            <w:tcW w:type="dxa" w:w="3210"/>
            <w:tcMar>
              <w:top w:type="dxa" w:w="80"/>
              <w:left w:type="dxa" w:w="110"/>
              <w:bottom w:type="dxa" w:w="80"/>
              <w:right w:type="dxa" w:w="110"/>
            </w:tcMar>
          </w:tcPr>
          <w:p>
            <w:r>
              <w:rPr>
                <w:b w:val="false"/>
                <w:bCs w:val="false"/>
                <w:sz w:val="20"/>
                <w:szCs w:val="20"/>
              </w:rPr>
              <w:t xml:space="preserve">Present, position stated, TO CONFIRM</w:t>
            </w:r>
          </w:p>
        </w:tc>
      </w:tr>
    </w:tbl>
    <w:p>
      <w:pPr>
        <w:pStyle w:val="Heading1"/>
        <w:spacing w:after="160" w:before="360"/>
      </w:pPr>
      <w:r>
        <w:rPr>
          <w:b/>
          <w:bCs/>
          <w:color w:val="1F4E5F"/>
          <w:sz w:val="32"/>
          <w:szCs w:val="32"/>
        </w:rPr>
        <w:t xml:space="preserve">D. Section-by-section annotations</w:t>
      </w:r>
    </w:p>
    <w:p>
      <w:pPr>
        <w:pStyle w:val="Heading2"/>
        <w:spacing w:after="120" w:before="280"/>
      </w:pPr>
      <w:r>
        <w:rPr>
          <w:b/>
          <w:bCs/>
          <w:color w:val="1F4E5F"/>
          <w:sz w:val="26"/>
          <w:szCs w:val="26"/>
        </w:rPr>
        <w:t xml:space="preserve">§1 — Who we are</w:t>
      </w:r>
    </w:p>
    <w:p>
      <w:pPr>
        <w:spacing w:after="140"/>
      </w:pPr>
      <w:r>
        <w:rPr>
          <w:sz w:val="22"/>
          <w:szCs w:val="22"/>
        </w:rPr>
        <w:t xml:space="preserve">Identifies the controller by name and trading name, gives a contact route, and states that no DPO has been appointed.</w:t>
      </w:r>
    </w:p>
    <w:p>
      <w:pPr>
        <w:spacing w:after="140"/>
      </w:pPr>
      <w:r>
        <w:rPr>
          <w:b/>
          <w:bCs/>
          <w:sz w:val="22"/>
          <w:szCs w:val="22"/>
        </w:rPr>
        <w:t xml:space="preserve">Meets: </w:t>
      </w:r>
      <w:r>
        <w:rPr>
          <w:sz w:val="22"/>
          <w:szCs w:val="22"/>
        </w:rPr>
        <w:t xml:space="preserve">Article 13(1)(a) and (b). The ICO's checklist marks controller identity and contact details as Always required and DPO details as required if applicable (</w:t>
      </w:r>
      <w:hyperlink w:history="1" r:id="rIdtwmyvwsqvxdadyw0sek87">
        <w:r>
          <w:rPr>
            <w:rStyle w:val="Hyperlink"/>
            <w:sz w:val="22"/>
            <w:szCs w:val="22"/>
          </w:rPr>
          <w:t xml:space="preserve">ICO checklist</w:t>
        </w:r>
      </w:hyperlink>
      <w:r>
        <w:rPr>
          <w:sz w:val="22"/>
          <w:szCs w:val="22"/>
        </w:rPr>
        <w:t xml:space="preserve">). Stating positively that no DPO is appointed, rather than staying silent, is the cleaner way to close that item.</w:t>
      </w:r>
    </w:p>
    <w:p>
      <w:pPr>
        <w:spacing w:after="140"/>
      </w:pPr>
      <w:r>
        <w:rPr>
          <w:b/>
          <w:bCs/>
          <w:sz w:val="22"/>
          <w:szCs w:val="22"/>
        </w:rPr>
        <w:t xml:space="preserve">Still open: </w:t>
      </w:r>
      <w:r>
        <w:rPr>
          <w:sz w:val="22"/>
          <w:szCs w:val="22"/>
        </w:rPr>
        <w:t xml:space="preserve">ICO registration number placeholder. See Section F2.</w:t>
      </w:r>
    </w:p>
    <w:p>
      <w:pPr>
        <w:pStyle w:val="Heading2"/>
        <w:spacing w:after="120" w:before="280"/>
      </w:pPr>
      <w:r>
        <w:rPr>
          <w:b/>
          <w:bCs/>
          <w:color w:val="1F4E5F"/>
          <w:sz w:val="26"/>
          <w:szCs w:val="26"/>
        </w:rPr>
        <w:t xml:space="preserve">§2 — What we collect, and why</w:t>
      </w:r>
    </w:p>
    <w:p>
      <w:pPr>
        <w:spacing w:after="140"/>
      </w:pPr>
      <w:r>
        <w:rPr>
          <w:sz w:val="22"/>
          <w:szCs w:val="22"/>
        </w:rPr>
        <w:t xml:space="preserve">Splits collection into named purposes rather than one undifferentiated list, and separates the journal from feeling-word selections.</w:t>
      </w:r>
    </w:p>
    <w:p>
      <w:pPr>
        <w:spacing w:after="140"/>
      </w:pPr>
      <w:r>
        <w:rPr>
          <w:b/>
          <w:bCs/>
          <w:sz w:val="22"/>
          <w:szCs w:val="22"/>
        </w:rPr>
        <w:t xml:space="preserve">Meets: </w:t>
      </w:r>
      <w:r>
        <w:rPr>
          <w:sz w:val="22"/>
          <w:szCs w:val="22"/>
        </w:rPr>
        <w:t xml:space="preserve">Article 13(1)(c) requires the purposes to be stated and the ICO asks for each different purpose to be clear (</w:t>
      </w:r>
      <w:hyperlink w:history="1" r:id="rIdrn6iievqqv94mpm11xvkj">
        <w:r>
          <w:rPr>
            <w:rStyle w:val="Hyperlink"/>
            <w:sz w:val="22"/>
            <w:szCs w:val="22"/>
          </w:rPr>
          <w:t xml:space="preserve">ICO checklist</w:t>
        </w:r>
      </w:hyperlink>
      <w:r>
        <w:rPr>
          <w:sz w:val="22"/>
          <w:szCs w:val="22"/>
        </w:rPr>
        <w:t xml:space="preserve">). The paragraph beginning "You do not have to give us any of it" closes Article 13(2)(e) — whether provision is required and what happens if you decline.</w:t>
      </w:r>
    </w:p>
    <w:p>
      <w:pPr>
        <w:spacing w:after="140"/>
      </w:pPr>
      <w:r>
        <w:rPr>
          <w:b/>
          <w:bCs/>
          <w:sz w:val="22"/>
          <w:szCs w:val="22"/>
        </w:rPr>
        <w:t xml:space="preserve">Still open: </w:t>
      </w:r>
      <w:r>
        <w:rPr>
          <w:sz w:val="22"/>
          <w:szCs w:val="22"/>
        </w:rPr>
        <w:t xml:space="preserve">None. The journal privacy rule goes further than the guidance requires and I would not want it softened in review.</w:t>
      </w:r>
    </w:p>
    <w:p>
      <w:pPr>
        <w:pStyle w:val="Heading2"/>
        <w:spacing w:after="120" w:before="280"/>
      </w:pPr>
      <w:r>
        <w:rPr>
          <w:b/>
          <w:bCs/>
          <w:color w:val="1F4E5F"/>
          <w:sz w:val="26"/>
          <w:szCs w:val="26"/>
        </w:rPr>
        <w:t xml:space="preserve">§3 — Our legal basis</w:t>
      </w:r>
    </w:p>
    <w:p>
      <w:pPr>
        <w:spacing w:after="140"/>
      </w:pPr>
      <w:r>
        <w:rPr>
          <w:sz w:val="22"/>
          <w:szCs w:val="22"/>
        </w:rPr>
        <w:t xml:space="preserve">A table giving, for every category of data, the Article 6 lawful basis and, where relevant, the separate Article 9 condition.</w:t>
      </w:r>
    </w:p>
    <w:p>
      <w:pPr>
        <w:spacing w:after="140"/>
      </w:pPr>
      <w:r>
        <w:rPr>
          <w:b/>
          <w:bCs/>
          <w:sz w:val="22"/>
          <w:szCs w:val="22"/>
        </w:rPr>
        <w:t xml:space="preserve">Meets: </w:t>
      </w:r>
      <w:r>
        <w:rPr>
          <w:sz w:val="22"/>
          <w:szCs w:val="22"/>
        </w:rPr>
        <w:t xml:space="preserve">This is the most important structural correction. The ICO is explicit that to process special category data lawfully you must identify both a lawful basis under Article 6 and a separate condition under Article 9 (</w:t>
      </w:r>
      <w:hyperlink w:history="1" r:id="rIdimbn2ugmnnet3zw0lzi4p">
        <w:r>
          <w:rPr>
            <w:rStyle w:val="Hyperlink"/>
            <w:sz w:val="22"/>
            <w:szCs w:val="22"/>
          </w:rPr>
          <w:t xml:space="preserve">ICO, what are the rules on special category data</w:t>
        </w:r>
      </w:hyperlink>
      <w:r>
        <w:rPr>
          <w:sz w:val="22"/>
          <w:szCs w:val="22"/>
        </w:rPr>
        <w:t xml:space="preserve">). v3 listed "explicit consent" as though it were the Article 6 basis, which conflated the two. Explicit consent under Article 9(2)(a) must meet the ordinary standard for consent — freely given, specific, informed, affirmative, and withdrawable (</w:t>
      </w:r>
      <w:hyperlink w:history="1" r:id="rIdxhhnb0zn4r1rqvdf9hjts">
        <w:r>
          <w:rPr>
            <w:rStyle w:val="Hyperlink"/>
            <w:sz w:val="22"/>
            <w:szCs w:val="22"/>
          </w:rPr>
          <w:t xml:space="preserve">ICO, conditions for processing</w:t>
        </w:r>
      </w:hyperlink>
      <w:r>
        <w:rPr>
          <w:sz w:val="22"/>
          <w:szCs w:val="22"/>
        </w:rPr>
        <w:t xml:space="preserve">).</w:t>
      </w:r>
    </w:p>
    <w:p>
      <w:pPr>
        <w:spacing w:after="140"/>
      </w:pPr>
      <w:r>
        <w:rPr>
          <w:b/>
          <w:bCs/>
          <w:sz w:val="22"/>
          <w:szCs w:val="22"/>
        </w:rPr>
        <w:t xml:space="preserve">Still open: </w:t>
      </w:r>
      <w:r>
        <w:rPr>
          <w:sz w:val="22"/>
          <w:szCs w:val="22"/>
        </w:rPr>
        <w:t xml:space="preserve">The ICO also notes that where special category data is needed to deliver a service the person asked for, the Article 6 basis may more naturally be contract, with explicit consent still doing the Article 9 work (ICO, when is consent appropriate). I have gone with consent for both because our free tier genuinely works without health data, which is what makes the consent freely given. If you think contract is the better Article 6 basis, that changes what withdrawal means and I would want to know before beta.</w:t>
      </w:r>
    </w:p>
    <w:p>
      <w:pPr>
        <w:pStyle w:val="Heading2"/>
        <w:spacing w:after="120" w:before="280"/>
      </w:pPr>
      <w:r>
        <w:rPr>
          <w:b/>
          <w:bCs/>
          <w:color w:val="1F4E5F"/>
          <w:sz w:val="26"/>
          <w:szCs w:val="26"/>
        </w:rPr>
        <w:t xml:space="preserve">§4 — Automated personalisation</w:t>
      </w:r>
    </w:p>
    <w:p>
      <w:pPr>
        <w:spacing w:after="140"/>
      </w:pPr>
      <w:r>
        <w:rPr>
          <w:sz w:val="22"/>
          <w:szCs w:val="22"/>
        </w:rPr>
        <w:t xml:space="preserve">States that the app generates sessions automatically, describes the logic in outline, and states our position that this is not solely automated decision-making with legal or similarly significant effects.</w:t>
      </w:r>
    </w:p>
    <w:p>
      <w:pPr>
        <w:spacing w:after="140"/>
      </w:pPr>
      <w:r>
        <w:rPr>
          <w:b/>
          <w:bCs/>
          <w:sz w:val="22"/>
          <w:szCs w:val="22"/>
        </w:rPr>
        <w:t xml:space="preserve">Meets: </w:t>
      </w:r>
      <w:r>
        <w:rPr>
          <w:sz w:val="22"/>
          <w:szCs w:val="22"/>
        </w:rPr>
        <w:t xml:space="preserve">Article 13(2)(f) and the ICO's checklist item on automated decision-making including profiling. v3 said nothing at all about this, which for a product whose entire function is automated personalisation was a real omission.</w:t>
      </w:r>
    </w:p>
    <w:p>
      <w:pPr>
        <w:spacing w:after="140"/>
      </w:pPr>
      <w:r>
        <w:rPr>
          <w:b/>
          <w:bCs/>
          <w:sz w:val="22"/>
          <w:szCs w:val="22"/>
        </w:rPr>
        <w:t xml:space="preserve">Still open: </w:t>
      </w:r>
      <w:r>
        <w:rPr>
          <w:sz w:val="22"/>
          <w:szCs w:val="22"/>
        </w:rPr>
        <w:t xml:space="preserve">Whether our analysis is right. If Article 22 is engaged the consequences are significant, and note that Article 22(4) restricts solely automated decisions based on special category data to explicit consent or substantial public interest grounds.</w:t>
      </w:r>
    </w:p>
    <w:p>
      <w:pPr>
        <w:pStyle w:val="Heading2"/>
        <w:spacing w:after="120" w:before="280"/>
      </w:pPr>
      <w:r>
        <w:rPr>
          <w:b/>
          <w:bCs/>
          <w:color w:val="1F4E5F"/>
          <w:sz w:val="26"/>
          <w:szCs w:val="26"/>
        </w:rPr>
        <w:t xml:space="preserve">§5 — Storage on your device</w:t>
      </w:r>
    </w:p>
    <w:p>
      <w:pPr>
        <w:spacing w:after="140"/>
      </w:pPr>
      <w:r>
        <w:rPr>
          <w:sz w:val="22"/>
          <w:szCs w:val="22"/>
        </w:rPr>
        <w:t xml:space="preserve">Addresses local storage and states the strictly-necessary position under PECR.</w:t>
      </w:r>
    </w:p>
    <w:p>
      <w:pPr>
        <w:spacing w:after="140"/>
      </w:pPr>
      <w:r>
        <w:rPr>
          <w:b/>
          <w:bCs/>
          <w:sz w:val="22"/>
          <w:szCs w:val="22"/>
        </w:rPr>
        <w:t xml:space="preserve">Meets: </w:t>
      </w:r>
      <w:r>
        <w:rPr>
          <w:sz w:val="22"/>
          <w:szCs w:val="22"/>
        </w:rPr>
        <w:t xml:space="preserve">Not an Article 13 item. Added because PECR regulation 6 covers storing and accessing information on a user's device, and a health app that keeps everything in local storage should say so rather than leave it implied. v3 covered Plausible's lack of cookies but not our own storage.</w:t>
      </w:r>
    </w:p>
    <w:p>
      <w:pPr>
        <w:spacing w:after="140"/>
      </w:pPr>
      <w:r>
        <w:rPr>
          <w:b/>
          <w:bCs/>
          <w:sz w:val="22"/>
          <w:szCs w:val="22"/>
        </w:rPr>
        <w:t xml:space="preserve">Still open: </w:t>
      </w:r>
      <w:r>
        <w:rPr>
          <w:sz w:val="22"/>
          <w:szCs w:val="22"/>
        </w:rPr>
        <w:t xml:space="preserve">Confirmation that the strictly-necessary exemption applies, and whether the website needs a separate cookie position from the app.</w:t>
      </w:r>
    </w:p>
    <w:p>
      <w:pPr>
        <w:pStyle w:val="Heading2"/>
        <w:spacing w:after="120" w:before="280"/>
      </w:pPr>
      <w:r>
        <w:rPr>
          <w:b/>
          <w:bCs/>
          <w:color w:val="1F4E5F"/>
          <w:sz w:val="26"/>
          <w:szCs w:val="26"/>
        </w:rPr>
        <w:t xml:space="preserve">§6 — How we store your data</w:t>
      </w:r>
    </w:p>
    <w:p>
      <w:pPr>
        <w:spacing w:after="140"/>
      </w:pPr>
      <w:r>
        <w:rPr>
          <w:sz w:val="22"/>
          <w:szCs w:val="22"/>
        </w:rPr>
        <w:t xml:space="preserve">Describes current local-only storage and the planned Supabase migration.</w:t>
      </w:r>
    </w:p>
    <w:p>
      <w:pPr>
        <w:spacing w:after="140"/>
      </w:pPr>
      <w:r>
        <w:rPr>
          <w:b/>
          <w:bCs/>
          <w:sz w:val="22"/>
          <w:szCs w:val="22"/>
        </w:rPr>
        <w:t xml:space="preserve">Meets: </w:t>
      </w:r>
      <w:r>
        <w:rPr>
          <w:sz w:val="22"/>
          <w:szCs w:val="22"/>
        </w:rPr>
        <w:t xml:space="preserve">Article 13 does not require a storage description, but the transparency principle in Article 5(1)(a) means a policy has to be true on the day it is published.</w:t>
      </w:r>
    </w:p>
    <w:p>
      <w:pPr>
        <w:spacing w:after="140"/>
      </w:pPr>
      <w:r>
        <w:rPr>
          <w:b/>
          <w:bCs/>
          <w:sz w:val="22"/>
          <w:szCs w:val="22"/>
        </w:rPr>
        <w:t xml:space="preserve">Still open: </w:t>
      </w:r>
      <w:r>
        <w:rPr>
          <w:sz w:val="22"/>
          <w:szCs w:val="22"/>
        </w:rPr>
        <w:t xml:space="preserve">This section is written in two tenses and cannot ship that way. Before publication it must be resolved to whichever state is actually live. I have marked it in the policy itself so it cannot be missed.</w:t>
      </w:r>
    </w:p>
    <w:p>
      <w:pPr>
        <w:pStyle w:val="Heading2"/>
        <w:spacing w:after="120" w:before="280"/>
      </w:pPr>
      <w:r>
        <w:rPr>
          <w:b/>
          <w:bCs/>
          <w:color w:val="1F4E5F"/>
          <w:sz w:val="26"/>
          <w:szCs w:val="26"/>
        </w:rPr>
        <w:t xml:space="preserve">§7 — Where your data is processed</w:t>
      </w:r>
    </w:p>
    <w:p>
      <w:pPr>
        <w:spacing w:after="140"/>
      </w:pPr>
      <w:r>
        <w:rPr>
          <w:sz w:val="22"/>
          <w:szCs w:val="22"/>
        </w:rPr>
        <w:t xml:space="preserve">Names the fact that some suppliers are US companies and that transfers may occur.</w:t>
      </w:r>
    </w:p>
    <w:p>
      <w:pPr>
        <w:spacing w:after="140"/>
      </w:pPr>
      <w:r>
        <w:rPr>
          <w:b/>
          <w:bCs/>
          <w:sz w:val="22"/>
          <w:szCs w:val="22"/>
        </w:rPr>
        <w:t xml:space="preserve">Meets: </w:t>
      </w:r>
      <w:r>
        <w:rPr>
          <w:sz w:val="22"/>
          <w:szCs w:val="22"/>
        </w:rPr>
        <w:t xml:space="preserve">Article 13(1)(f) and the ICO's checklist item on transfers to third countries, which requires the safeguard relied on and how to obtain a copy of it.</w:t>
      </w:r>
    </w:p>
    <w:p>
      <w:pPr>
        <w:spacing w:after="140"/>
      </w:pPr>
      <w:r>
        <w:rPr>
          <w:b/>
          <w:bCs/>
          <w:sz w:val="22"/>
          <w:szCs w:val="22"/>
        </w:rPr>
        <w:t xml:space="preserve">Still open: </w:t>
      </w:r>
      <w:r>
        <w:rPr>
          <w:sz w:val="22"/>
          <w:szCs w:val="22"/>
        </w:rPr>
        <w:t xml:space="preserve">The mechanism for each supplier. This is a factual question about our contracts, not a legal one, and it is on me to answer it — but I would rather have it confirmed than assert it.</w:t>
      </w:r>
    </w:p>
    <w:p>
      <w:pPr>
        <w:pStyle w:val="Heading2"/>
        <w:spacing w:after="120" w:before="280"/>
      </w:pPr>
      <w:r>
        <w:rPr>
          <w:b/>
          <w:bCs/>
          <w:color w:val="1F4E5F"/>
          <w:sz w:val="26"/>
          <w:szCs w:val="26"/>
        </w:rPr>
        <w:t xml:space="preserve">§8 — Who we share your data with</w:t>
      </w:r>
    </w:p>
    <w:p>
      <w:pPr>
        <w:spacing w:after="140"/>
      </w:pPr>
      <w:r>
        <w:rPr>
          <w:sz w:val="22"/>
          <w:szCs w:val="22"/>
        </w:rPr>
        <w:t xml:space="preserve">Names each supplier individually with what they do, where they are, and the contract position.</w:t>
      </w:r>
    </w:p>
    <w:p>
      <w:pPr>
        <w:spacing w:after="140"/>
      </w:pPr>
      <w:r>
        <w:rPr>
          <w:b/>
          <w:bCs/>
          <w:sz w:val="22"/>
          <w:szCs w:val="22"/>
        </w:rPr>
        <w:t xml:space="preserve">Meets: </w:t>
      </w:r>
      <w:r>
        <w:rPr>
          <w:sz w:val="22"/>
          <w:szCs w:val="22"/>
        </w:rPr>
        <w:t xml:space="preserve">Article 13(1)(e). The ICO's guidance permits either named organisations or categories, and asks for specificity if only categories are given (</w:t>
      </w:r>
      <w:hyperlink w:history="1" r:id="rIdv6nzkbsn4h_upxusbmqvr">
        <w:r>
          <w:rPr>
            <w:rStyle w:val="Hyperlink"/>
            <w:sz w:val="22"/>
            <w:szCs w:val="22"/>
          </w:rPr>
          <w:t xml:space="preserve">ICO checklist</w:t>
        </w:r>
      </w:hyperlink>
      <w:r>
        <w:rPr>
          <w:sz w:val="22"/>
          <w:szCs w:val="22"/>
        </w:rPr>
        <w:t xml:space="preserve">). Naming them is more work to maintain but easier for a user to check.</w:t>
      </w:r>
    </w:p>
    <w:p>
      <w:pPr>
        <w:spacing w:after="140"/>
      </w:pPr>
      <w:r>
        <w:rPr>
          <w:b/>
          <w:bCs/>
          <w:sz w:val="22"/>
          <w:szCs w:val="22"/>
        </w:rPr>
        <w:t xml:space="preserve">Still open: </w:t>
      </w:r>
      <w:r>
        <w:rPr>
          <w:sz w:val="22"/>
          <w:szCs w:val="22"/>
        </w:rPr>
        <w:t xml:space="preserve">Four DPAs marked TO CONFIRM. Article 28 written terms with each processor are a separate obligation from this policy and are not yet all in place.</w:t>
      </w:r>
    </w:p>
    <w:p>
      <w:pPr>
        <w:pStyle w:val="Heading2"/>
        <w:spacing w:after="120" w:before="280"/>
      </w:pPr>
      <w:r>
        <w:rPr>
          <w:b/>
          <w:bCs/>
          <w:color w:val="1F4E5F"/>
          <w:sz w:val="26"/>
          <w:szCs w:val="26"/>
        </w:rPr>
        <w:t xml:space="preserve">§9 — How long we keep your data</w:t>
      </w:r>
    </w:p>
    <w:p>
      <w:pPr>
        <w:spacing w:after="140"/>
      </w:pPr>
      <w:r>
        <w:rPr>
          <w:sz w:val="22"/>
          <w:szCs w:val="22"/>
        </w:rPr>
        <w:t xml:space="preserve">Gives actual retention periods for six categories.</w:t>
      </w:r>
    </w:p>
    <w:p>
      <w:pPr>
        <w:spacing w:after="140"/>
      </w:pPr>
      <w:r>
        <w:rPr>
          <w:b/>
          <w:bCs/>
          <w:sz w:val="22"/>
          <w:szCs w:val="22"/>
        </w:rPr>
        <w:t xml:space="preserve">Meets: </w:t>
      </w:r>
      <w:r>
        <w:rPr>
          <w:sz w:val="22"/>
          <w:szCs w:val="22"/>
        </w:rPr>
        <w:t xml:space="preserve">Article 13(2)(a). The ICO's checklist marks retention as Always required and asks for a specific period, or the criteria used if no specific period is possible (</w:t>
      </w:r>
      <w:hyperlink w:history="1" r:id="rIdndlce5sksafnjnjeql4df">
        <w:r>
          <w:rPr>
            <w:rStyle w:val="Hyperlink"/>
            <w:sz w:val="22"/>
            <w:szCs w:val="22"/>
          </w:rPr>
          <w:t xml:space="preserve">ICO checklist</w:t>
        </w:r>
      </w:hyperlink>
      <w:r>
        <w:rPr>
          <w:sz w:val="22"/>
          <w:szCs w:val="22"/>
        </w:rPr>
        <w:t xml:space="preserve">). v3 said "as long as your account is active", which defines nothing, because "active" was undefined.</w:t>
      </w:r>
    </w:p>
    <w:p>
      <w:pPr>
        <w:spacing w:after="140"/>
      </w:pPr>
      <w:r>
        <w:rPr>
          <w:b/>
          <w:bCs/>
          <w:sz w:val="22"/>
          <w:szCs w:val="22"/>
        </w:rPr>
        <w:t xml:space="preserve">Still open: </w:t>
      </w:r>
      <w:r>
        <w:rPr>
          <w:sz w:val="22"/>
          <w:szCs w:val="22"/>
        </w:rPr>
        <w:t xml:space="preserve">The 24-month dormancy trigger is my proposal, not a legal requirement. If there is a reason to make it shorter for health data, I would take that steer.</w:t>
      </w:r>
    </w:p>
    <w:p>
      <w:pPr>
        <w:pStyle w:val="Heading2"/>
        <w:spacing w:after="120" w:before="280"/>
      </w:pPr>
      <w:r>
        <w:rPr>
          <w:b/>
          <w:bCs/>
          <w:color w:val="1F4E5F"/>
          <w:sz w:val="26"/>
          <w:szCs w:val="26"/>
        </w:rPr>
        <w:t xml:space="preserve">§10 — Your rights</w:t>
      </w:r>
    </w:p>
    <w:p>
      <w:pPr>
        <w:spacing w:after="140"/>
      </w:pPr>
      <w:r>
        <w:rPr>
          <w:sz w:val="22"/>
          <w:szCs w:val="22"/>
        </w:rPr>
        <w:t xml:space="preserve">Lists all applicable rights, gives the right to object its own heading, and states the statutory response time.</w:t>
      </w:r>
    </w:p>
    <w:p>
      <w:pPr>
        <w:spacing w:after="140"/>
      </w:pPr>
      <w:r>
        <w:rPr>
          <w:b/>
          <w:bCs/>
          <w:sz w:val="22"/>
          <w:szCs w:val="22"/>
        </w:rPr>
        <w:t xml:space="preserve">Meets: </w:t>
      </w:r>
      <w:r>
        <w:rPr>
          <w:sz w:val="22"/>
          <w:szCs w:val="22"/>
        </w:rPr>
        <w:t xml:space="preserve">Article 13(2)(b) and (c). Two corrections here. The right to restriction was missing from v3 entirely. And the ICO's guidance is that the right to object must be brought to attention clearly and separately from other information, so it now has its own sub-heading rather than sitting fourth in a bullet list. On timing, the ICO is clear that the limit is one calendar month from the day of receipt, extendable by up to two further months for complex or multiple requests, with the person told inside the first month (</w:t>
      </w:r>
      <w:hyperlink w:history="1" r:id="rIdvq-s9pov8kdigksp4hkae">
        <w:r>
          <w:rPr>
            <w:rStyle w:val="Hyperlink"/>
            <w:sz w:val="22"/>
            <w:szCs w:val="22"/>
          </w:rPr>
          <w:t xml:space="preserve">ICO, a guide to subject access</w:t>
        </w:r>
      </w:hyperlink>
      <w:r>
        <w:rPr>
          <w:sz w:val="22"/>
          <w:szCs w:val="22"/>
        </w:rPr>
        <w:t xml:space="preserve">; </w:t>
      </w:r>
      <w:hyperlink w:history="1" r:id="rIdprsskagpbkendeq1e4rqe">
        <w:r>
          <w:rPr>
            <w:rStyle w:val="Hyperlink"/>
            <w:sz w:val="22"/>
            <w:szCs w:val="22"/>
          </w:rPr>
          <w:t xml:space="preserve">ICO, time limits for responding</w:t>
        </w:r>
      </w:hyperlink>
      <w:r>
        <w:rPr>
          <w:sz w:val="22"/>
          <w:szCs w:val="22"/>
        </w:rPr>
        <w:t xml:space="preserve">). v3 said 30 days, which is both wrong and, in a 31-day month, wrong in our favour.</w:t>
      </w:r>
    </w:p>
    <w:p>
      <w:pPr>
        <w:spacing w:after="140"/>
      </w:pPr>
      <w:r>
        <w:rPr>
          <w:b/>
          <w:bCs/>
          <w:sz w:val="22"/>
          <w:szCs w:val="22"/>
        </w:rPr>
        <w:t xml:space="preserve">Still open: </w:t>
      </w:r>
      <w:r>
        <w:rPr>
          <w:sz w:val="22"/>
          <w:szCs w:val="22"/>
        </w:rPr>
        <w:t xml:space="preserve">None that I can see.</w:t>
      </w:r>
    </w:p>
    <w:p>
      <w:pPr>
        <w:pStyle w:val="Heading2"/>
        <w:spacing w:after="120" w:before="280"/>
      </w:pPr>
      <w:r>
        <w:rPr>
          <w:b/>
          <w:bCs/>
          <w:color w:val="1F4E5F"/>
          <w:sz w:val="26"/>
          <w:szCs w:val="26"/>
        </w:rPr>
        <w:t xml:space="preserve">§11 — If a data breach happens</w:t>
      </w:r>
    </w:p>
    <w:p>
      <w:pPr>
        <w:spacing w:after="140"/>
      </w:pPr>
      <w:r>
        <w:rPr>
          <w:sz w:val="22"/>
          <w:szCs w:val="22"/>
        </w:rPr>
        <w:t xml:space="preserve">States the 72-hour ICO reporting duty, the duty to tell affected people where risk is high, and that we keep a log including of breaches we decide not to report.</w:t>
      </w:r>
    </w:p>
    <w:p>
      <w:pPr>
        <w:spacing w:after="140"/>
      </w:pPr>
      <w:r>
        <w:rPr>
          <w:b/>
          <w:bCs/>
          <w:sz w:val="22"/>
          <w:szCs w:val="22"/>
        </w:rPr>
        <w:t xml:space="preserve">Meets: </w:t>
      </w:r>
      <w:r>
        <w:rPr>
          <w:sz w:val="22"/>
          <w:szCs w:val="22"/>
        </w:rPr>
        <w:t xml:space="preserve">Articles 33 and 34. The ICO's breach guidance sets the 72-hour window from becoming aware, where feasible, and requires individuals to be told without undue delay where the breach is likely to result in high risk (</w:t>
      </w:r>
      <w:hyperlink w:history="1" r:id="rIdk6knitnbcipphvwyjbnri">
        <w:r>
          <w:rPr>
            <w:rStyle w:val="Hyperlink"/>
            <w:sz w:val="22"/>
            <w:szCs w:val="22"/>
          </w:rPr>
          <w:t xml:space="preserve">ICO, personal data breaches: a guide</w:t>
        </w:r>
      </w:hyperlink>
      <w:r>
        <w:rPr>
          <w:sz w:val="22"/>
          <w:szCs w:val="22"/>
        </w:rPr>
        <w:t xml:space="preserve">; there is also a short guide aimed at sole traders, </w:t>
      </w:r>
      <w:hyperlink w:history="1" r:id="rId7efrlqozhxh9ojgfsk_1j">
        <w:r>
          <w:rPr>
            <w:rStyle w:val="Hyperlink"/>
            <w:sz w:val="22"/>
            <w:szCs w:val="22"/>
          </w:rPr>
          <w:t xml:space="preserve">72 hours: how to respond</w:t>
        </w:r>
      </w:hyperlink>
      <w:r>
        <w:rPr>
          <w:sz w:val="22"/>
          <w:szCs w:val="22"/>
        </w:rPr>
        <w:t xml:space="preserve">).</w:t>
      </w:r>
    </w:p>
    <w:p>
      <w:pPr>
        <w:spacing w:after="140"/>
      </w:pPr>
      <w:r>
        <w:rPr>
          <w:b/>
          <w:bCs/>
          <w:sz w:val="22"/>
          <w:szCs w:val="22"/>
        </w:rPr>
        <w:t xml:space="preserve">Still open: </w:t>
      </w:r>
      <w:r>
        <w:rPr>
          <w:sz w:val="22"/>
          <w:szCs w:val="22"/>
        </w:rPr>
        <w:t xml:space="preserve">I have deliberately toned down the magic-link line from v3. It read as reassurance, and passwordless sign-in moves risk to the email account rather than removing it. If it still reads as overclaiming, cut it — I would rather lose the point than have it be the sentence a regulator quotes back.</w:t>
      </w:r>
    </w:p>
    <w:p>
      <w:pPr>
        <w:pStyle w:val="Heading2"/>
        <w:spacing w:after="120" w:before="280"/>
      </w:pPr>
      <w:r>
        <w:rPr>
          <w:b/>
          <w:bCs/>
          <w:color w:val="1F4E5F"/>
          <w:sz w:val="26"/>
          <w:szCs w:val="26"/>
        </w:rPr>
        <w:t xml:space="preserve">§12 — Age requirement</w:t>
      </w:r>
    </w:p>
    <w:p>
      <w:pPr>
        <w:spacing w:after="140"/>
      </w:pPr>
      <w:r>
        <w:rPr>
          <w:sz w:val="22"/>
          <w:szCs w:val="22"/>
        </w:rPr>
        <w:t xml:space="preserve">States 18+, describes the safety-before-deletion approach for under-18 accounts, and flags the age assurance question openly.</w:t>
      </w:r>
    </w:p>
    <w:p>
      <w:pPr>
        <w:spacing w:after="140"/>
      </w:pPr>
      <w:r>
        <w:rPr>
          <w:b/>
          <w:bCs/>
          <w:sz w:val="22"/>
          <w:szCs w:val="22"/>
        </w:rPr>
        <w:t xml:space="preserve">Meets: </w:t>
      </w:r>
      <w:r>
        <w:rPr>
          <w:sz w:val="22"/>
          <w:szCs w:val="22"/>
        </w:rPr>
        <w:t xml:space="preserve">This is the section I am least comfortable with, and I think that discomfort is correct. The ICO's position is that self-declaration is unlikely to be effective age assurance, and that a service must assess whether children are likely to access it even where it is intended for adults only, documenting and periodically reviewing that conclusion (</w:t>
      </w:r>
      <w:hyperlink w:history="1" r:id="rIdgpnu1-jmktssf8-u5d8gb">
        <w:r>
          <w:rPr>
            <w:rStyle w:val="Hyperlink"/>
            <w:sz w:val="22"/>
            <w:szCs w:val="22"/>
          </w:rPr>
          <w:t xml:space="preserve">ICO, age assurance for the Children's code</w:t>
        </w:r>
      </w:hyperlink>
      <w:r>
        <w:rPr>
          <w:sz w:val="22"/>
          <w:szCs w:val="22"/>
        </w:rPr>
        <w:t xml:space="preserve">; </w:t>
      </w:r>
      <w:hyperlink w:history="1" r:id="rIdpoiogtobun4z6o0gdnlwu">
        <w:r>
          <w:rPr>
            <w:rStyle w:val="Hyperlink"/>
            <w:sz w:val="22"/>
            <w:szCs w:val="22"/>
          </w:rPr>
          <w:t xml:space="preserve">ICO age assurance guidance</w:t>
        </w:r>
      </w:hyperlink>
      <w:r>
        <w:rPr>
          <w:sz w:val="22"/>
          <w:szCs w:val="22"/>
        </w:rPr>
        <w:t xml:space="preserve">). In February 2026 the ICO fined Reddit £14.47m and stated its focus is on services relying primarily on self-declaration (</w:t>
      </w:r>
      <w:hyperlink w:history="1" r:id="rIdaphtbfpusnrcgnfiov1dv">
        <w:r>
          <w:rPr>
            <w:rStyle w:val="Hyperlink"/>
            <w:sz w:val="22"/>
            <w:szCs w:val="22"/>
          </w:rPr>
          <w:t xml:space="preserve">Osborne Clarke summary</w:t>
        </w:r>
      </w:hyperlink>
      <w:r>
        <w:rPr>
          <w:sz w:val="22"/>
          <w:szCs w:val="22"/>
        </w:rPr>
        <w:t xml:space="preserve">).</w:t>
      </w:r>
    </w:p>
    <w:p>
      <w:pPr>
        <w:spacing w:after="140"/>
      </w:pPr>
      <w:r>
        <w:rPr>
          <w:b/>
          <w:bCs/>
          <w:sz w:val="22"/>
          <w:szCs w:val="22"/>
        </w:rPr>
        <w:t xml:space="preserve">Still open: </w:t>
      </w:r>
      <w:r>
        <w:rPr>
          <w:sz w:val="22"/>
          <w:szCs w:val="22"/>
        </w:rPr>
        <w:t xml:space="preserve">Everything. This is the one area where I do not think I should be drafting at all, and it is where Bethany's advice to spend the budget on children's data seems right to me.</w:t>
      </w:r>
    </w:p>
    <w:p>
      <w:pPr>
        <w:pStyle w:val="Heading2"/>
        <w:spacing w:after="120" w:before="280"/>
      </w:pPr>
      <w:r>
        <w:rPr>
          <w:b/>
          <w:bCs/>
          <w:color w:val="1F4E5F"/>
          <w:sz w:val="26"/>
          <w:szCs w:val="26"/>
        </w:rPr>
        <w:t xml:space="preserve">§13 — Marketing emails</w:t>
      </w:r>
    </w:p>
    <w:p>
      <w:pPr>
        <w:spacing w:after="140"/>
      </w:pPr>
      <w:r>
        <w:rPr>
          <w:sz w:val="22"/>
          <w:szCs w:val="22"/>
        </w:rPr>
        <w:t xml:space="preserve">Unticked by default, never a condition of use, unsubscribe in every message, transactional email separated out.</w:t>
      </w:r>
    </w:p>
    <w:p>
      <w:pPr>
        <w:spacing w:after="140"/>
      </w:pPr>
      <w:r>
        <w:rPr>
          <w:b/>
          <w:bCs/>
          <w:sz w:val="22"/>
          <w:szCs w:val="22"/>
        </w:rPr>
        <w:t xml:space="preserve">Meets: </w:t>
      </w:r>
      <w:r>
        <w:rPr>
          <w:sz w:val="22"/>
          <w:szCs w:val="22"/>
        </w:rPr>
        <w:t xml:space="preserve">PECR regulation 22 and the ICO's electronic mail marketing guidance, which requires consent unless the soft opt-in applies, and an opt-out both at collection and in every message (</w:t>
      </w:r>
      <w:hyperlink w:history="1" r:id="rIdwwjxtxzjaulw8rggh3guj">
        <w:r>
          <w:rPr>
            <w:rStyle w:val="Hyperlink"/>
            <w:sz w:val="22"/>
            <w:szCs w:val="22"/>
          </w:rPr>
          <w:t xml:space="preserve">ICO, electronic mail marketing</w:t>
        </w:r>
      </w:hyperlink>
      <w:r>
        <w:rPr>
          <w:sz w:val="22"/>
          <w:szCs w:val="22"/>
        </w:rPr>
        <w:t xml:space="preserve">).</w:t>
      </w:r>
    </w:p>
    <w:p>
      <w:pPr>
        <w:spacing w:after="140"/>
      </w:pPr>
      <w:r>
        <w:rPr>
          <w:b/>
          <w:bCs/>
          <w:sz w:val="22"/>
          <w:szCs w:val="22"/>
        </w:rPr>
        <w:t xml:space="preserve">Still open: </w:t>
      </w:r>
      <w:r>
        <w:rPr>
          <w:sz w:val="22"/>
          <w:szCs w:val="22"/>
        </w:rPr>
        <w:t xml:space="preserve">The soft opt-in question I raised in v3 has a partial answer. The ICO's detailed guidance treats signing up to a free trial as negotiations for a sale (ICO, how do we comply with the PECR electronic mail marketing rules). But our free tier is permanent rather than a trial, and someone using it has not expressed interest in buying anything. I do not think we qualify, and we default to explicit opt-in regardless — but I would like that confirmed rather than assumed.</w:t>
      </w:r>
    </w:p>
    <w:p>
      <w:pPr>
        <w:pStyle w:val="Heading2"/>
        <w:spacing w:after="120" w:before="280"/>
      </w:pPr>
      <w:r>
        <w:rPr>
          <w:b/>
          <w:bCs/>
          <w:color w:val="1F4E5F"/>
          <w:sz w:val="26"/>
          <w:szCs w:val="26"/>
        </w:rPr>
        <w:t xml:space="preserve">§14 — Changes to this policy</w:t>
      </w:r>
    </w:p>
    <w:p>
      <w:pPr>
        <w:spacing w:after="140"/>
      </w:pPr>
      <w:r>
        <w:rPr>
          <w:sz w:val="22"/>
          <w:szCs w:val="22"/>
        </w:rPr>
        <w:t xml:space="preserve">14 days' notice of significant changes by email or in-app notice.</w:t>
      </w:r>
    </w:p>
    <w:p>
      <w:pPr>
        <w:spacing w:after="140"/>
      </w:pPr>
      <w:r>
        <w:rPr>
          <w:b/>
          <w:bCs/>
          <w:sz w:val="22"/>
          <w:szCs w:val="22"/>
        </w:rPr>
        <w:t xml:space="preserve">Meets: </w:t>
      </w:r>
      <w:r>
        <w:rPr>
          <w:sz w:val="22"/>
          <w:szCs w:val="22"/>
        </w:rPr>
        <w:t xml:space="preserve">The ICO's guidance is that new purposes must be brought to people's attention proactively before the new processing starts (</w:t>
      </w:r>
      <w:hyperlink w:history="1" r:id="rIdi_z1ha1phuip2zlgewckk">
        <w:r>
          <w:rPr>
            <w:rStyle w:val="Hyperlink"/>
            <w:sz w:val="22"/>
            <w:szCs w:val="22"/>
          </w:rPr>
          <w:t xml:space="preserve">ICO, how should we draft our privacy information</w:t>
        </w:r>
      </w:hyperlink>
      <w:r>
        <w:rPr>
          <w:sz w:val="22"/>
          <w:szCs w:val="22"/>
        </w:rPr>
        <w:t xml:space="preserve">).</w:t>
      </w:r>
    </w:p>
    <w:p>
      <w:pPr>
        <w:spacing w:after="140"/>
      </w:pPr>
      <w:r>
        <w:rPr>
          <w:b/>
          <w:bCs/>
          <w:sz w:val="22"/>
          <w:szCs w:val="22"/>
        </w:rPr>
        <w:t xml:space="preserve">Still open: </w:t>
      </w:r>
      <w:r>
        <w:rPr>
          <w:sz w:val="22"/>
          <w:szCs w:val="22"/>
        </w:rPr>
        <w:t xml:space="preserve">None.</w:t>
      </w:r>
    </w:p>
    <w:p>
      <w:pPr>
        <w:pStyle w:val="Heading2"/>
        <w:spacing w:after="120" w:before="280"/>
      </w:pPr>
      <w:r>
        <w:rPr>
          <w:b/>
          <w:bCs/>
          <w:color w:val="1F4E5F"/>
          <w:sz w:val="26"/>
          <w:szCs w:val="26"/>
        </w:rPr>
        <w:t xml:space="preserve">§15 — How to complain</w:t>
      </w:r>
    </w:p>
    <w:p>
      <w:pPr>
        <w:spacing w:after="140"/>
      </w:pPr>
      <w:r>
        <w:rPr>
          <w:sz w:val="22"/>
          <w:szCs w:val="22"/>
        </w:rPr>
        <w:t xml:space="preserve">Sets out the right to complain to us directly, an accessible route, a 30-day acknowledgement, investigation without undue delay, progress updates, a reasoned outcome, and the unaffected right to go to the ICO.</w:t>
      </w:r>
    </w:p>
    <w:p>
      <w:pPr>
        <w:spacing w:after="140"/>
      </w:pPr>
      <w:r>
        <w:rPr>
          <w:b/>
          <w:bCs/>
          <w:sz w:val="22"/>
          <w:szCs w:val="22"/>
        </w:rPr>
        <w:t xml:space="preserve">Meets: </w:t>
      </w:r>
      <w:r>
        <w:rPr>
          <w:sz w:val="22"/>
          <w:szCs w:val="22"/>
        </w:rPr>
        <w:t xml:space="preserve">This is the second structural correction, and it is a live compliance point rather than a refinement. Section 103 of the Data (Use and Access) Act 2025 inserted section 164A into the Data Protection Act 2018, requiring every controller — no exemptions, no size threshold — to operate a data protection complaints process. It came into force on 19 June 2026. Controllers must provide an accessible way to complain, acknowledge receipt within 30 days, investigate without undue delay, keep the complainant informed, and tell them the outcome. Privacy notices must inform people of the right (</w:t>
      </w:r>
      <w:hyperlink w:history="1" r:id="rIdn6p_pdnjachrsoeeywlj_">
        <w:r>
          <w:rPr>
            <w:rStyle w:val="Hyperlink"/>
            <w:sz w:val="22"/>
            <w:szCs w:val="22"/>
          </w:rPr>
          <w:t xml:space="preserve">ICO, how to deal with data protection complaints</w:t>
        </w:r>
      </w:hyperlink>
      <w:r>
        <w:rPr>
          <w:sz w:val="22"/>
          <w:szCs w:val="22"/>
        </w:rPr>
        <w:t xml:space="preserve">). v3's Section 12 pointed only at the ICO and would not have met this.</w:t>
      </w:r>
    </w:p>
    <w:p>
      <w:pPr>
        <w:spacing w:after="140"/>
      </w:pPr>
      <w:r>
        <w:rPr>
          <w:b/>
          <w:bCs/>
          <w:sz w:val="22"/>
          <w:szCs w:val="22"/>
        </w:rPr>
        <w:t xml:space="preserve">Still open: </w:t>
      </w:r>
      <w:r>
        <w:rPr>
          <w:sz w:val="22"/>
          <w:szCs w:val="22"/>
        </w:rPr>
        <w:t xml:space="preserve">The written internal procedure and the log behind it. See Section F3.</w:t>
      </w:r>
    </w:p>
    <w:p>
      <w:pPr>
        <w:pStyle w:val="Heading1"/>
        <w:spacing w:after="160" w:before="360"/>
      </w:pPr>
      <w:r>
        <w:rPr>
          <w:b/>
          <w:bCs/>
          <w:color w:val="1F4E5F"/>
          <w:sz w:val="32"/>
          <w:szCs w:val="32"/>
        </w:rPr>
        <w:t xml:space="preserve">E. What changed from v3, and why</w:t>
      </w:r>
    </w:p>
    <w:p>
      <w:pPr>
        <w:spacing w:after="140"/>
      </w:pPr>
      <w:r>
        <w:rPr>
          <w:sz w:val="22"/>
          <w:szCs w:val="22"/>
        </w:rPr>
        <w:t xml:space="preserve">Recorded so a reviewer can see what moved rather than having to diff two drafts.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E4EAEE" w:val="clear"/>
            <w:tcMar>
              <w:top w:type="dxa" w:w="80"/>
              <w:left w:type="dxa" w:w="110"/>
              <w:bottom w:type="dxa" w:w="80"/>
              <w:right w:type="dxa" w:w="110"/>
            </w:tcMar>
          </w:tcPr>
          <w:p>
            <w:r>
              <w:rPr>
                <w:b/>
                <w:bCs/>
                <w:sz w:val="20"/>
                <w:szCs w:val="20"/>
              </w:rPr>
              <w:t xml:space="preserve">Change</w:t>
            </w:r>
          </w:p>
        </w:tc>
        <w:tc>
          <w:tcPr>
            <w:tcW w:type="dxa" w:w="3400"/>
            <w:shd w:fill="E4EAEE" w:val="clear"/>
            <w:tcMar>
              <w:top w:type="dxa" w:w="80"/>
              <w:left w:type="dxa" w:w="110"/>
              <w:bottom w:type="dxa" w:w="80"/>
              <w:right w:type="dxa" w:w="110"/>
            </w:tcMar>
          </w:tcPr>
          <w:p>
            <w:r>
              <w:rPr>
                <w:b/>
                <w:bCs/>
                <w:sz w:val="20"/>
                <w:szCs w:val="20"/>
              </w:rPr>
              <w:t xml:space="preserve">What v3 said</w:t>
            </w:r>
          </w:p>
        </w:tc>
        <w:tc>
          <w:tcPr>
            <w:tcW w:type="dxa" w:w="3360"/>
            <w:shd w:fill="E4EAEE" w:val="clear"/>
            <w:tcMar>
              <w:top w:type="dxa" w:w="80"/>
              <w:left w:type="dxa" w:w="110"/>
              <w:bottom w:type="dxa" w:w="80"/>
              <w:right w:type="dxa" w:w="110"/>
            </w:tcMar>
          </w:tcPr>
          <w:p>
            <w:r>
              <w:rPr>
                <w:b/>
                <w:bCs/>
                <w:sz w:val="20"/>
                <w:szCs w:val="20"/>
              </w:rPr>
              <w:t xml:space="preserve">Why it changed</w:t>
            </w:r>
          </w:p>
        </w:tc>
      </w:tr>
      <w:tr>
        <w:trPr>
          <w:tblHeader w:val="false"/>
        </w:trPr>
        <w:tc>
          <w:tcPr>
            <w:tcW w:type="dxa" w:w="2600"/>
            <w:tcMar>
              <w:top w:type="dxa" w:w="80"/>
              <w:left w:type="dxa" w:w="110"/>
              <w:bottom w:type="dxa" w:w="80"/>
              <w:right w:type="dxa" w:w="110"/>
            </w:tcMar>
          </w:tcPr>
          <w:p>
            <w:r>
              <w:rPr>
                <w:b w:val="false"/>
                <w:bCs w:val="false"/>
                <w:sz w:val="20"/>
                <w:szCs w:val="20"/>
              </w:rPr>
              <w:t xml:space="preserve">Article 6 / Article 9 split</w:t>
            </w:r>
          </w:p>
        </w:tc>
        <w:tc>
          <w:tcPr>
            <w:tcW w:type="dxa" w:w="3400"/>
            <w:tcMar>
              <w:top w:type="dxa" w:w="80"/>
              <w:left w:type="dxa" w:w="110"/>
              <w:bottom w:type="dxa" w:w="80"/>
              <w:right w:type="dxa" w:w="110"/>
            </w:tcMar>
          </w:tcPr>
          <w:p>
            <w:r>
              <w:rPr>
                <w:b w:val="false"/>
                <w:bCs w:val="false"/>
                <w:sz w:val="20"/>
                <w:szCs w:val="20"/>
              </w:rPr>
              <w:t xml:space="preserve">Listed "explicit consent" as the basis for health data</w:t>
            </w:r>
          </w:p>
        </w:tc>
        <w:tc>
          <w:tcPr>
            <w:tcW w:type="dxa" w:w="3360"/>
            <w:tcMar>
              <w:top w:type="dxa" w:w="80"/>
              <w:left w:type="dxa" w:w="110"/>
              <w:bottom w:type="dxa" w:w="80"/>
              <w:right w:type="dxa" w:w="110"/>
            </w:tcMar>
          </w:tcPr>
          <w:p>
            <w:r>
              <w:rPr>
                <w:b w:val="false"/>
                <w:bCs w:val="false"/>
                <w:sz w:val="20"/>
                <w:szCs w:val="20"/>
              </w:rPr>
              <w:t xml:space="preserve">The UK GDPR requires both an Article 6 basis and a separate Article 9 condition. v3 named one and implied it covered both.</w:t>
            </w:r>
          </w:p>
        </w:tc>
      </w:tr>
      <w:tr>
        <w:trPr>
          <w:tblHeader w:val="false"/>
        </w:trPr>
        <w:tc>
          <w:tcPr>
            <w:tcW w:type="dxa" w:w="2600"/>
            <w:tcMar>
              <w:top w:type="dxa" w:w="80"/>
              <w:left w:type="dxa" w:w="110"/>
              <w:bottom w:type="dxa" w:w="80"/>
              <w:right w:type="dxa" w:w="110"/>
            </w:tcMar>
          </w:tcPr>
          <w:p>
            <w:r>
              <w:rPr>
                <w:b w:val="false"/>
                <w:bCs w:val="false"/>
                <w:sz w:val="20"/>
                <w:szCs w:val="20"/>
              </w:rPr>
              <w:t xml:space="preserve">Response time</w:t>
            </w:r>
          </w:p>
        </w:tc>
        <w:tc>
          <w:tcPr>
            <w:tcW w:type="dxa" w:w="3400"/>
            <w:tcMar>
              <w:top w:type="dxa" w:w="80"/>
              <w:left w:type="dxa" w:w="110"/>
              <w:bottom w:type="dxa" w:w="80"/>
              <w:right w:type="dxa" w:w="110"/>
            </w:tcMar>
          </w:tcPr>
          <w:p>
            <w:r>
              <w:rPr>
                <w:b w:val="false"/>
                <w:bCs w:val="false"/>
                <w:sz w:val="20"/>
                <w:szCs w:val="20"/>
              </w:rPr>
              <w:t xml:space="preserve">"We will respond within 30 days"</w:t>
            </w:r>
          </w:p>
        </w:tc>
        <w:tc>
          <w:tcPr>
            <w:tcW w:type="dxa" w:w="3360"/>
            <w:tcMar>
              <w:top w:type="dxa" w:w="80"/>
              <w:left w:type="dxa" w:w="110"/>
              <w:bottom w:type="dxa" w:w="80"/>
              <w:right w:type="dxa" w:w="110"/>
            </w:tcMar>
          </w:tcPr>
          <w:p>
            <w:r>
              <w:rPr>
                <w:b w:val="false"/>
                <w:bCs w:val="false"/>
                <w:sz w:val="20"/>
                <w:szCs w:val="20"/>
              </w:rPr>
              <w:t xml:space="preserve">The statutory period is one calendar month, extendable by two months for complex requests. 30 days is wrong, and shorter than the law allows in most months.</w:t>
            </w:r>
          </w:p>
        </w:tc>
      </w:tr>
      <w:tr>
        <w:trPr>
          <w:tblHeader w:val="false"/>
        </w:trPr>
        <w:tc>
          <w:tcPr>
            <w:tcW w:type="dxa" w:w="2600"/>
            <w:tcMar>
              <w:top w:type="dxa" w:w="80"/>
              <w:left w:type="dxa" w:w="110"/>
              <w:bottom w:type="dxa" w:w="80"/>
              <w:right w:type="dxa" w:w="110"/>
            </w:tcMar>
          </w:tcPr>
          <w:p>
            <w:r>
              <w:rPr>
                <w:b w:val="false"/>
                <w:bCs w:val="false"/>
                <w:sz w:val="20"/>
                <w:szCs w:val="20"/>
              </w:rPr>
              <w:t xml:space="preserve">Complaints</w:t>
            </w:r>
          </w:p>
        </w:tc>
        <w:tc>
          <w:tcPr>
            <w:tcW w:type="dxa" w:w="3400"/>
            <w:tcMar>
              <w:top w:type="dxa" w:w="80"/>
              <w:left w:type="dxa" w:w="110"/>
              <w:bottom w:type="dxa" w:w="80"/>
              <w:right w:type="dxa" w:w="110"/>
            </w:tcMar>
          </w:tcPr>
          <w:p>
            <w:r>
              <w:rPr>
                <w:b w:val="false"/>
                <w:bCs w:val="false"/>
                <w:sz w:val="20"/>
                <w:szCs w:val="20"/>
              </w:rPr>
              <w:t xml:space="preserve">Pointed only at the ICO</w:t>
            </w:r>
          </w:p>
        </w:tc>
        <w:tc>
          <w:tcPr>
            <w:tcW w:type="dxa" w:w="3360"/>
            <w:tcMar>
              <w:top w:type="dxa" w:w="80"/>
              <w:left w:type="dxa" w:w="110"/>
              <w:bottom w:type="dxa" w:w="80"/>
              <w:right w:type="dxa" w:w="110"/>
            </w:tcMar>
          </w:tcPr>
          <w:p>
            <w:r>
              <w:rPr>
                <w:b w:val="false"/>
                <w:bCs w:val="false"/>
                <w:sz w:val="20"/>
                <w:szCs w:val="20"/>
              </w:rPr>
              <w:t xml:space="preserve">DUAA s.164A has been in force since 19 June 2026 and requires an internal complaints route, described in the privacy notice.</w:t>
            </w:r>
          </w:p>
        </w:tc>
      </w:tr>
      <w:tr>
        <w:trPr>
          <w:tblHeader w:val="false"/>
        </w:trPr>
        <w:tc>
          <w:tcPr>
            <w:tcW w:type="dxa" w:w="2600"/>
            <w:tcMar>
              <w:top w:type="dxa" w:w="80"/>
              <w:left w:type="dxa" w:w="110"/>
              <w:bottom w:type="dxa" w:w="80"/>
              <w:right w:type="dxa" w:w="110"/>
            </w:tcMar>
          </w:tcPr>
          <w:p>
            <w:r>
              <w:rPr>
                <w:b w:val="false"/>
                <w:bCs w:val="false"/>
                <w:sz w:val="20"/>
                <w:szCs w:val="20"/>
              </w:rPr>
              <w:t xml:space="preserve">Right to restriction</w:t>
            </w:r>
          </w:p>
        </w:tc>
        <w:tc>
          <w:tcPr>
            <w:tcW w:type="dxa" w:w="3400"/>
            <w:tcMar>
              <w:top w:type="dxa" w:w="80"/>
              <w:left w:type="dxa" w:w="110"/>
              <w:bottom w:type="dxa" w:w="80"/>
              <w:right w:type="dxa" w:w="110"/>
            </w:tcMar>
          </w:tcPr>
          <w:p>
            <w:r>
              <w:rPr>
                <w:b w:val="false"/>
                <w:bCs w:val="false"/>
                <w:sz w:val="20"/>
                <w:szCs w:val="20"/>
              </w:rPr>
              <w:t xml:space="preserve">Absent</w:t>
            </w:r>
          </w:p>
        </w:tc>
        <w:tc>
          <w:tcPr>
            <w:tcW w:type="dxa" w:w="3360"/>
            <w:tcMar>
              <w:top w:type="dxa" w:w="80"/>
              <w:left w:type="dxa" w:w="110"/>
              <w:bottom w:type="dxa" w:w="80"/>
              <w:right w:type="dxa" w:w="110"/>
            </w:tcMar>
          </w:tcPr>
          <w:p>
            <w:r>
              <w:rPr>
                <w:b w:val="false"/>
                <w:bCs w:val="false"/>
                <w:sz w:val="20"/>
                <w:szCs w:val="20"/>
              </w:rPr>
              <w:t xml:space="preserve">Article 13(2)(b) lists it. Simple omission.</w:t>
            </w:r>
          </w:p>
        </w:tc>
      </w:tr>
      <w:tr>
        <w:trPr>
          <w:tblHeader w:val="false"/>
        </w:trPr>
        <w:tc>
          <w:tcPr>
            <w:tcW w:type="dxa" w:w="2600"/>
            <w:tcMar>
              <w:top w:type="dxa" w:w="80"/>
              <w:left w:type="dxa" w:w="110"/>
              <w:bottom w:type="dxa" w:w="80"/>
              <w:right w:type="dxa" w:w="110"/>
            </w:tcMar>
          </w:tcPr>
          <w:p>
            <w:r>
              <w:rPr>
                <w:b w:val="false"/>
                <w:bCs w:val="false"/>
                <w:sz w:val="20"/>
                <w:szCs w:val="20"/>
              </w:rPr>
              <w:t xml:space="preserve">Right to object</w:t>
            </w:r>
          </w:p>
        </w:tc>
        <w:tc>
          <w:tcPr>
            <w:tcW w:type="dxa" w:w="3400"/>
            <w:tcMar>
              <w:top w:type="dxa" w:w="80"/>
              <w:left w:type="dxa" w:w="110"/>
              <w:bottom w:type="dxa" w:w="80"/>
              <w:right w:type="dxa" w:w="110"/>
            </w:tcMar>
          </w:tcPr>
          <w:p>
            <w:r>
              <w:rPr>
                <w:b w:val="false"/>
                <w:bCs w:val="false"/>
                <w:sz w:val="20"/>
                <w:szCs w:val="20"/>
              </w:rPr>
              <w:t xml:space="preserve">Fourth bullet in a list</w:t>
            </w:r>
          </w:p>
        </w:tc>
        <w:tc>
          <w:tcPr>
            <w:tcW w:type="dxa" w:w="3360"/>
            <w:tcMar>
              <w:top w:type="dxa" w:w="80"/>
              <w:left w:type="dxa" w:w="110"/>
              <w:bottom w:type="dxa" w:w="80"/>
              <w:right w:type="dxa" w:w="110"/>
            </w:tcMar>
          </w:tcPr>
          <w:p>
            <w:r>
              <w:rPr>
                <w:b w:val="false"/>
                <w:bCs w:val="false"/>
                <w:sz w:val="20"/>
                <w:szCs w:val="20"/>
              </w:rPr>
              <w:t xml:space="preserve">ICO guidance requires it to be brought to attention clearly and separately.</w:t>
            </w:r>
          </w:p>
        </w:tc>
      </w:tr>
      <w:tr>
        <w:trPr>
          <w:tblHeader w:val="false"/>
        </w:trPr>
        <w:tc>
          <w:tcPr>
            <w:tcW w:type="dxa" w:w="2600"/>
            <w:tcMar>
              <w:top w:type="dxa" w:w="80"/>
              <w:left w:type="dxa" w:w="110"/>
              <w:bottom w:type="dxa" w:w="80"/>
              <w:right w:type="dxa" w:w="110"/>
            </w:tcMar>
          </w:tcPr>
          <w:p>
            <w:r>
              <w:rPr>
                <w:b w:val="false"/>
                <w:bCs w:val="false"/>
                <w:sz w:val="20"/>
                <w:szCs w:val="20"/>
              </w:rPr>
              <w:t xml:space="preserve">Retention</w:t>
            </w:r>
          </w:p>
        </w:tc>
        <w:tc>
          <w:tcPr>
            <w:tcW w:type="dxa" w:w="3400"/>
            <w:tcMar>
              <w:top w:type="dxa" w:w="80"/>
              <w:left w:type="dxa" w:w="110"/>
              <w:bottom w:type="dxa" w:w="80"/>
              <w:right w:type="dxa" w:w="110"/>
            </w:tcMar>
          </w:tcPr>
          <w:p>
            <w:r>
              <w:rPr>
                <w:b w:val="false"/>
                <w:bCs w:val="false"/>
                <w:sz w:val="20"/>
                <w:szCs w:val="20"/>
              </w:rPr>
              <w:t xml:space="preserve">"As long as your account is active"</w:t>
            </w:r>
          </w:p>
        </w:tc>
        <w:tc>
          <w:tcPr>
            <w:tcW w:type="dxa" w:w="3360"/>
            <w:tcMar>
              <w:top w:type="dxa" w:w="80"/>
              <w:left w:type="dxa" w:w="110"/>
              <w:bottom w:type="dxa" w:w="80"/>
              <w:right w:type="dxa" w:w="110"/>
            </w:tcMar>
          </w:tcPr>
          <w:p>
            <w:r>
              <w:rPr>
                <w:b w:val="false"/>
                <w:bCs w:val="false"/>
                <w:sz w:val="20"/>
                <w:szCs w:val="20"/>
              </w:rPr>
              <w:t xml:space="preserve">"Active" was undefined, so no period and no criteria were actually given. Now six defined periods.</w:t>
            </w:r>
          </w:p>
        </w:tc>
      </w:tr>
      <w:tr>
        <w:trPr>
          <w:tblHeader w:val="false"/>
        </w:trPr>
        <w:tc>
          <w:tcPr>
            <w:tcW w:type="dxa" w:w="2600"/>
            <w:tcMar>
              <w:top w:type="dxa" w:w="80"/>
              <w:left w:type="dxa" w:w="110"/>
              <w:bottom w:type="dxa" w:w="80"/>
              <w:right w:type="dxa" w:w="110"/>
            </w:tcMar>
          </w:tcPr>
          <w:p>
            <w:r>
              <w:rPr>
                <w:b w:val="false"/>
                <w:bCs w:val="false"/>
                <w:sz w:val="20"/>
                <w:szCs w:val="20"/>
              </w:rPr>
              <w:t xml:space="preserve">Automated processing</w:t>
            </w:r>
          </w:p>
        </w:tc>
        <w:tc>
          <w:tcPr>
            <w:tcW w:type="dxa" w:w="3400"/>
            <w:tcMar>
              <w:top w:type="dxa" w:w="80"/>
              <w:left w:type="dxa" w:w="110"/>
              <w:bottom w:type="dxa" w:w="80"/>
              <w:right w:type="dxa" w:w="110"/>
            </w:tcMar>
          </w:tcPr>
          <w:p>
            <w:r>
              <w:rPr>
                <w:b w:val="false"/>
                <w:bCs w:val="false"/>
                <w:sz w:val="20"/>
                <w:szCs w:val="20"/>
              </w:rPr>
              <w:t xml:space="preserve">Absent</w:t>
            </w:r>
          </w:p>
        </w:tc>
        <w:tc>
          <w:tcPr>
            <w:tcW w:type="dxa" w:w="3360"/>
            <w:tcMar>
              <w:top w:type="dxa" w:w="80"/>
              <w:left w:type="dxa" w:w="110"/>
              <w:bottom w:type="dxa" w:w="80"/>
              <w:right w:type="dxa" w:w="110"/>
            </w:tcMar>
          </w:tcPr>
          <w:p>
            <w:r>
              <w:rPr>
                <w:b w:val="false"/>
                <w:bCs w:val="false"/>
                <w:sz w:val="20"/>
                <w:szCs w:val="20"/>
              </w:rPr>
              <w:t xml:space="preserve">The product is automated personalisation. Saying nothing about it in the privacy policy was the wrong call.</w:t>
            </w:r>
          </w:p>
        </w:tc>
      </w:tr>
      <w:tr>
        <w:trPr>
          <w:tblHeader w:val="false"/>
        </w:trPr>
        <w:tc>
          <w:tcPr>
            <w:tcW w:type="dxa" w:w="2600"/>
            <w:tcMar>
              <w:top w:type="dxa" w:w="80"/>
              <w:left w:type="dxa" w:w="110"/>
              <w:bottom w:type="dxa" w:w="80"/>
              <w:right w:type="dxa" w:w="110"/>
            </w:tcMar>
          </w:tcPr>
          <w:p>
            <w:r>
              <w:rPr>
                <w:b w:val="false"/>
                <w:bCs w:val="false"/>
                <w:sz w:val="20"/>
                <w:szCs w:val="20"/>
              </w:rPr>
              <w:t xml:space="preserve">International transfers</w:t>
            </w:r>
          </w:p>
        </w:tc>
        <w:tc>
          <w:tcPr>
            <w:tcW w:type="dxa" w:w="3400"/>
            <w:tcMar>
              <w:top w:type="dxa" w:w="80"/>
              <w:left w:type="dxa" w:w="110"/>
              <w:bottom w:type="dxa" w:w="80"/>
              <w:right w:type="dxa" w:w="110"/>
            </w:tcMar>
          </w:tcPr>
          <w:p>
            <w:r>
              <w:rPr>
                <w:b w:val="false"/>
                <w:bCs w:val="false"/>
                <w:sz w:val="20"/>
                <w:szCs w:val="20"/>
              </w:rPr>
              <w:t xml:space="preserve">Absent; suppliers listed with regions only</w:t>
            </w:r>
          </w:p>
        </w:tc>
        <w:tc>
          <w:tcPr>
            <w:tcW w:type="dxa" w:w="3360"/>
            <w:tcMar>
              <w:top w:type="dxa" w:w="80"/>
              <w:left w:type="dxa" w:w="110"/>
              <w:bottom w:type="dxa" w:w="80"/>
              <w:right w:type="dxa" w:w="110"/>
            </w:tcMar>
          </w:tcPr>
          <w:p>
            <w:r>
              <w:rPr>
                <w:b w:val="false"/>
                <w:bCs w:val="false"/>
                <w:sz w:val="20"/>
                <w:szCs w:val="20"/>
              </w:rPr>
              <w:t xml:space="preserve">Stripe and Kit are US companies. The transfer position needs stating.</w:t>
            </w:r>
          </w:p>
        </w:tc>
      </w:tr>
      <w:tr>
        <w:trPr>
          <w:tblHeader w:val="false"/>
        </w:trPr>
        <w:tc>
          <w:tcPr>
            <w:tcW w:type="dxa" w:w="2600"/>
            <w:tcMar>
              <w:top w:type="dxa" w:w="80"/>
              <w:left w:type="dxa" w:w="110"/>
              <w:bottom w:type="dxa" w:w="80"/>
              <w:right w:type="dxa" w:w="110"/>
            </w:tcMar>
          </w:tcPr>
          <w:p>
            <w:r>
              <w:rPr>
                <w:b w:val="false"/>
                <w:bCs w:val="false"/>
                <w:sz w:val="20"/>
                <w:szCs w:val="20"/>
              </w:rPr>
              <w:t xml:space="preserve">Local storage / PECR</w:t>
            </w:r>
          </w:p>
        </w:tc>
        <w:tc>
          <w:tcPr>
            <w:tcW w:type="dxa" w:w="3400"/>
            <w:tcMar>
              <w:top w:type="dxa" w:w="80"/>
              <w:left w:type="dxa" w:w="110"/>
              <w:bottom w:type="dxa" w:w="80"/>
              <w:right w:type="dxa" w:w="110"/>
            </w:tcMar>
          </w:tcPr>
          <w:p>
            <w:r>
              <w:rPr>
                <w:b w:val="false"/>
                <w:bCs w:val="false"/>
                <w:sz w:val="20"/>
                <w:szCs w:val="20"/>
              </w:rPr>
              <w:t xml:space="preserve">Only Plausible's lack of cookies mentioned</w:t>
            </w:r>
          </w:p>
        </w:tc>
        <w:tc>
          <w:tcPr>
            <w:tcW w:type="dxa" w:w="3360"/>
            <w:tcMar>
              <w:top w:type="dxa" w:w="80"/>
              <w:left w:type="dxa" w:w="110"/>
              <w:bottom w:type="dxa" w:w="80"/>
              <w:right w:type="dxa" w:w="110"/>
            </w:tcMar>
          </w:tcPr>
          <w:p>
            <w:r>
              <w:rPr>
                <w:b w:val="false"/>
                <w:bCs w:val="false"/>
                <w:sz w:val="20"/>
                <w:szCs w:val="20"/>
              </w:rPr>
              <w:t xml:space="preserve">The app stores everything in local storage. PECR reg. 6 applies to that, not just to cookies.</w:t>
            </w:r>
          </w:p>
        </w:tc>
      </w:tr>
      <w:tr>
        <w:trPr>
          <w:tblHeader w:val="false"/>
        </w:trPr>
        <w:tc>
          <w:tcPr>
            <w:tcW w:type="dxa" w:w="2600"/>
            <w:tcMar>
              <w:top w:type="dxa" w:w="80"/>
              <w:left w:type="dxa" w:w="110"/>
              <w:bottom w:type="dxa" w:w="80"/>
              <w:right w:type="dxa" w:w="110"/>
            </w:tcMar>
          </w:tcPr>
          <w:p>
            <w:r>
              <w:rPr>
                <w:b w:val="false"/>
                <w:bCs w:val="false"/>
                <w:sz w:val="20"/>
                <w:szCs w:val="20"/>
              </w:rPr>
              <w:t xml:space="preserve">Cross-references</w:t>
            </w:r>
          </w:p>
        </w:tc>
        <w:tc>
          <w:tcPr>
            <w:tcW w:type="dxa" w:w="3400"/>
            <w:tcMar>
              <w:top w:type="dxa" w:w="80"/>
              <w:left w:type="dxa" w:w="110"/>
              <w:bottom w:type="dxa" w:w="80"/>
              <w:right w:type="dxa" w:w="110"/>
            </w:tcMar>
          </w:tcPr>
          <w:p>
            <w:r>
              <w:rPr>
                <w:b w:val="false"/>
                <w:bCs w:val="false"/>
                <w:sz w:val="20"/>
                <w:szCs w:val="20"/>
              </w:rPr>
              <w:t xml:space="preserve">"see Section 8" for age (was breach); "see Section 11" for marketing (was changes)</w:t>
            </w:r>
          </w:p>
        </w:tc>
        <w:tc>
          <w:tcPr>
            <w:tcW w:type="dxa" w:w="3360"/>
            <w:tcMar>
              <w:top w:type="dxa" w:w="80"/>
              <w:left w:type="dxa" w:w="110"/>
              <w:bottom w:type="dxa" w:w="80"/>
              <w:right w:type="dxa" w:w="110"/>
            </w:tcMar>
          </w:tcPr>
          <w:p>
            <w:r>
              <w:rPr>
                <w:b w:val="false"/>
                <w:bCs w:val="false"/>
                <w:sz w:val="20"/>
                <w:szCs w:val="20"/>
              </w:rPr>
              <w:t xml:space="preserve">Both were broken by the v3 renumbering. Fixed and re-checked.</w:t>
            </w:r>
          </w:p>
        </w:tc>
      </w:tr>
      <w:tr>
        <w:trPr>
          <w:tblHeader w:val="false"/>
        </w:trPr>
        <w:tc>
          <w:tcPr>
            <w:tcW w:type="dxa" w:w="2600"/>
            <w:tcMar>
              <w:top w:type="dxa" w:w="80"/>
              <w:left w:type="dxa" w:w="110"/>
              <w:bottom w:type="dxa" w:w="80"/>
              <w:right w:type="dxa" w:w="110"/>
            </w:tcMar>
          </w:tcPr>
          <w:p>
            <w:r>
              <w:rPr>
                <w:b w:val="false"/>
                <w:bCs w:val="false"/>
                <w:sz w:val="20"/>
                <w:szCs w:val="20"/>
              </w:rPr>
              <w:t xml:space="preserve">Breach section tone</w:t>
            </w:r>
          </w:p>
        </w:tc>
        <w:tc>
          <w:tcPr>
            <w:tcW w:type="dxa" w:w="3400"/>
            <w:tcMar>
              <w:top w:type="dxa" w:w="80"/>
              <w:left w:type="dxa" w:w="110"/>
              <w:bottom w:type="dxa" w:w="80"/>
              <w:right w:type="dxa" w:w="110"/>
            </w:tcMar>
          </w:tcPr>
          <w:p>
            <w:r>
              <w:rPr>
                <w:b w:val="false"/>
                <w:bCs w:val="false"/>
                <w:sz w:val="20"/>
                <w:szCs w:val="20"/>
              </w:rPr>
              <w:t xml:space="preserve">Magic-link framed as meaningfully limiting breach exposure</w:t>
            </w:r>
          </w:p>
        </w:tc>
        <w:tc>
          <w:tcPr>
            <w:tcW w:type="dxa" w:w="3360"/>
            <w:tcMar>
              <w:top w:type="dxa" w:w="80"/>
              <w:left w:type="dxa" w:w="110"/>
              <w:bottom w:type="dxa" w:w="80"/>
              <w:right w:type="dxa" w:w="110"/>
            </w:tcMar>
          </w:tcPr>
          <w:p>
            <w:r>
              <w:rPr>
                <w:b w:val="false"/>
                <w:bCs w:val="false"/>
                <w:sz w:val="20"/>
                <w:szCs w:val="20"/>
              </w:rPr>
              <w:t xml:space="preserve">Passwordless sign-in moves risk to the email account rather than removing it. Softened to something defensible.</w:t>
            </w:r>
          </w:p>
        </w:tc>
      </w:tr>
    </w:tbl>
    <w:p>
      <w:pPr>
        <w:pStyle w:val="Heading1"/>
        <w:spacing w:after="160" w:before="360"/>
      </w:pPr>
      <w:r>
        <w:rPr>
          <w:b/>
          <w:bCs/>
          <w:color w:val="1F4E5F"/>
          <w:sz w:val="32"/>
          <w:szCs w:val="32"/>
        </w:rPr>
        <w:t xml:space="preserve">F. Three things no privacy policy can fix</w:t>
      </w:r>
    </w:p>
    <w:p>
      <w:pPr>
        <w:spacing w:after="140"/>
      </w:pPr>
      <w:r>
        <w:rPr>
          <w:sz w:val="22"/>
          <w:szCs w:val="22"/>
        </w:rPr>
        <w:t xml:space="preserve">If the budget only stretches to some of this, these are what I would spend it on, in this order.</w:t>
      </w:r>
    </w:p>
    <w:p>
      <w:pPr>
        <w:pStyle w:val="Heading2"/>
        <w:spacing w:after="120" w:before="280"/>
      </w:pPr>
      <w:r>
        <w:rPr>
          <w:b/>
          <w:bCs/>
          <w:color w:val="1F4E5F"/>
          <w:sz w:val="26"/>
          <w:szCs w:val="26"/>
        </w:rPr>
        <w:t xml:space="preserve">F1. Data Protection Impact Assessment</w:t>
      </w:r>
    </w:p>
    <w:p>
      <w:pPr>
        <w:spacing w:after="140"/>
      </w:pPr>
      <w:r>
        <w:rPr>
          <w:sz w:val="22"/>
          <w:szCs w:val="22"/>
        </w:rPr>
        <w:t xml:space="preserve">We have not done one, and I now think we should have. Article 35(3)(b) requires a DPIA for large-scale processing of special category data. Separately, the ICO's own screening list includes several things Alongside does: using innovative technology, where it gives fitness or lifestyle monitoring software as an example; using special category data to decide what a service offers someone; and processing data that might endanger someone's physical health or safety in the event of a breach (</w:t>
      </w:r>
      <w:hyperlink w:history="1" r:id="rId4ppttbxcaomh_jzdlyuhf">
        <w:r>
          <w:rPr>
            <w:rStyle w:val="Hyperlink"/>
            <w:sz w:val="22"/>
            <w:szCs w:val="22"/>
          </w:rPr>
          <w:t xml:space="preserve">ICO, when do we need to do a DPIA?</w:t>
        </w:r>
      </w:hyperlink>
      <w:r>
        <w:rPr>
          <w:sz w:val="22"/>
          <w:szCs w:val="22"/>
        </w:rPr>
        <w:t xml:space="preserve">; </w:t>
      </w:r>
      <w:hyperlink w:history="1" r:id="rId1dypaububf8_q_thyopw2">
        <w:r>
          <w:rPr>
            <w:rStyle w:val="Hyperlink"/>
            <w:sz w:val="22"/>
            <w:szCs w:val="22"/>
          </w:rPr>
          <w:t xml:space="preserve">ICO DPIA guide</w:t>
        </w:r>
      </w:hyperlink>
      <w:r>
        <w:rPr>
          <w:sz w:val="22"/>
          <w:szCs w:val="22"/>
        </w:rPr>
        <w:t xml:space="preserve">). "Large scale" is relative and at beta we are small, but the ICO's advice where there is doubt is to do one. It also has to be done before the processing starts, not after.</w:t>
      </w:r>
    </w:p>
    <w:p>
      <w:pPr>
        <w:spacing w:after="140"/>
      </w:pPr>
      <w:r>
        <w:rPr>
          <w:sz w:val="22"/>
          <w:szCs w:val="22"/>
        </w:rPr>
        <w:t xml:space="preserve">A DPIA is also what would properly answer the age question below, rather than answering it by assertion in a privacy policy.</w:t>
      </w:r>
    </w:p>
    <w:p>
      <w:pPr>
        <w:pStyle w:val="Heading2"/>
        <w:spacing w:after="120" w:before="280"/>
      </w:pPr>
      <w:r>
        <w:rPr>
          <w:b/>
          <w:bCs/>
          <w:color w:val="1F4E5F"/>
          <w:sz w:val="26"/>
          <w:szCs w:val="26"/>
        </w:rPr>
        <w:t xml:space="preserve">F2. ICO registration</w:t>
      </w:r>
    </w:p>
    <w:p>
      <w:pPr>
        <w:spacing w:after="140"/>
      </w:pPr>
      <w:r>
        <w:rPr>
          <w:sz w:val="22"/>
          <w:szCs w:val="22"/>
        </w:rPr>
        <w:t xml:space="preserve">Under the Data Protection (Charges and Information) Regulations 2018, sole traders processing personal information must pay the data protection fee unless exempt (</w:t>
      </w:r>
      <w:hyperlink w:history="1" r:id="rIdbnxhf9olnckd0yvvflwrl">
        <w:r>
          <w:rPr>
            <w:rStyle w:val="Hyperlink"/>
            <w:sz w:val="22"/>
            <w:szCs w:val="22"/>
          </w:rPr>
          <w:t xml:space="preserve">ICO data protection fee</w:t>
        </w:r>
      </w:hyperlink>
      <w:r>
        <w:rPr>
          <w:sz w:val="22"/>
          <w:szCs w:val="22"/>
        </w:rPr>
        <w:t xml:space="preserve">). Tier 1 is £52 a year, less £5 by direct debit. There is a self-assessment tool (</w:t>
      </w:r>
      <w:hyperlink w:history="1" r:id="rIdbldbs63bfsagpqxnv24ta">
        <w:r>
          <w:rPr>
            <w:rStyle w:val="Hyperlink"/>
            <w:sz w:val="22"/>
            <w:szCs w:val="22"/>
          </w:rPr>
          <w:t xml:space="preserve">fee self-assessment</w:t>
        </w:r>
      </w:hyperlink>
      <w:r>
        <w:rPr>
          <w:sz w:val="22"/>
          <w:szCs w:val="22"/>
        </w:rPr>
        <w:t xml:space="preserve">) and the registration itself is done directly (</w:t>
      </w:r>
      <w:hyperlink w:history="1" r:id="rIdmrjgpvmrtwjet_ejdbq0e">
        <w:r>
          <w:rPr>
            <w:rStyle w:val="Hyperlink"/>
            <w:sz w:val="22"/>
            <w:szCs w:val="22"/>
          </w:rPr>
          <w:t xml:space="preserve">ICO register</w:t>
        </w:r>
      </w:hyperlink>
      <w:r>
        <w:rPr>
          <w:sz w:val="22"/>
          <w:szCs w:val="22"/>
        </w:rPr>
        <w:t xml:space="preserve">). Natalie's note that no legal fees are anticipated here matches what I found. This is £52 and an afternoon and it is currently blocking accurate wording in three places in the policy.</w:t>
      </w:r>
    </w:p>
    <w:p>
      <w:pPr>
        <w:pStyle w:val="Heading2"/>
        <w:spacing w:after="120" w:before="280"/>
      </w:pPr>
      <w:r>
        <w:rPr>
          <w:b/>
          <w:bCs/>
          <w:color w:val="1F4E5F"/>
          <w:sz w:val="26"/>
          <w:szCs w:val="26"/>
        </w:rPr>
        <w:t xml:space="preserve">F3. A complaints process that actually exists</w:t>
      </w:r>
    </w:p>
    <w:p>
      <w:pPr>
        <w:spacing w:after="140"/>
      </w:pPr>
      <w:r>
        <w:rPr>
          <w:sz w:val="22"/>
          <w:szCs w:val="22"/>
        </w:rPr>
        <w:t xml:space="preserve">Section 15 of the policy now describes one. Describing it is not the obligation — operating it is. What is needed is an accessible route (the ICO expects an electronic form plus at least one alternative such as email), a log recording receipt, acknowledgement, investigation steps and outcome, and a written procedure so the same thing happens every time. The ICO can ask to see those records (</w:t>
      </w:r>
      <w:hyperlink w:history="1" r:id="rIdb1hyko6wmslnjc6jwmumz">
        <w:r>
          <w:rPr>
            <w:rStyle w:val="Hyperlink"/>
            <w:sz w:val="22"/>
            <w:szCs w:val="22"/>
          </w:rPr>
          <w:t xml:space="preserve">ICO, how to deal with data protection complaints</w:t>
        </w:r>
      </w:hyperlink>
      <w:r>
        <w:rPr>
          <w:sz w:val="22"/>
          <w:szCs w:val="22"/>
        </w:rPr>
        <w:t xml:space="preserve">). This is small and cheap to build and it is already a live legal duty.</w:t>
      </w:r>
    </w:p>
    <w:p>
      <w:pPr>
        <w:pStyle w:val="Heading1"/>
        <w:spacing w:after="160" w:before="360"/>
      </w:pPr>
      <w:r>
        <w:rPr>
          <w:b/>
          <w:bCs/>
          <w:color w:val="1F4E5F"/>
          <w:sz w:val="32"/>
          <w:szCs w:val="32"/>
        </w:rPr>
        <w:t xml:space="preserve">G. Questions for Foot Anstey</w:t>
      </w:r>
    </w:p>
    <w:p>
      <w:pPr>
        <w:spacing w:after="140"/>
      </w:pPr>
      <w:r>
        <w:rPr>
          <w:sz w:val="22"/>
          <w:szCs w:val="22"/>
        </w:rPr>
        <w:t xml:space="preserve">Short and answerable, in the order I would want them answered.</w:t>
      </w:r>
    </w:p>
    <w:p>
      <w:pPr>
        <w:pStyle w:val="ListParagraph"/>
        <w:numPr>
          <w:ilvl w:val="0"/>
          <w:numId w:val="2"/>
        </w:numPr>
        <w:spacing w:after="80"/>
      </w:pPr>
      <w:r>
        <w:rPr>
          <w:sz w:val="22"/>
          <w:szCs w:val="22"/>
        </w:rPr>
        <w:t xml:space="preserve">§3 — Is consent the right Article 6 basis for health data given the free tier works without it, or should it be contract with explicit consent doing only the Article 9 work?</w:t>
      </w:r>
    </w:p>
    <w:p>
      <w:pPr>
        <w:pStyle w:val="ListParagraph"/>
        <w:numPr>
          <w:ilvl w:val="0"/>
          <w:numId w:val="2"/>
        </w:numPr>
        <w:spacing w:after="80"/>
      </w:pPr>
      <w:r>
        <w:rPr>
          <w:sz w:val="22"/>
          <w:szCs w:val="22"/>
        </w:rPr>
        <w:t xml:space="preserve">§4 — Is our position on automated personalisation right, and are any Article 22 duties engaged?</w:t>
      </w:r>
    </w:p>
    <w:p>
      <w:pPr>
        <w:pStyle w:val="ListParagraph"/>
        <w:numPr>
          <w:ilvl w:val="0"/>
          <w:numId w:val="2"/>
        </w:numPr>
        <w:spacing w:after="80"/>
      </w:pPr>
      <w:r>
        <w:rPr>
          <w:sz w:val="22"/>
          <w:szCs w:val="22"/>
        </w:rPr>
        <w:t xml:space="preserve">§12 — Is a stated 18+ minimum plus self-declared date of birth defensible for us, or do we need functional age assurance before beta? This is the one I most need answered.</w:t>
      </w:r>
    </w:p>
    <w:p>
      <w:pPr>
        <w:pStyle w:val="ListParagraph"/>
        <w:numPr>
          <w:ilvl w:val="0"/>
          <w:numId w:val="2"/>
        </w:numPr>
        <w:spacing w:after="80"/>
      </w:pPr>
      <w:r>
        <w:rPr>
          <w:sz w:val="22"/>
          <w:szCs w:val="22"/>
        </w:rPr>
        <w:t xml:space="preserve">§12 — How do we balance data minimisation against a safeguarding duty of care when we discover an under-18 account mid-crisis-response?</w:t>
      </w:r>
    </w:p>
    <w:p>
      <w:pPr>
        <w:pStyle w:val="ListParagraph"/>
        <w:numPr>
          <w:ilvl w:val="0"/>
          <w:numId w:val="2"/>
        </w:numPr>
        <w:spacing w:after="80"/>
      </w:pPr>
      <w:r>
        <w:rPr>
          <w:sz w:val="22"/>
          <w:szCs w:val="22"/>
        </w:rPr>
        <w:t xml:space="preserve">§13 — Does a permanent free tier count as negotiations for a sale for PECR soft opt-in purposes? I have assumed not.</w:t>
      </w:r>
    </w:p>
    <w:p>
      <w:pPr>
        <w:pStyle w:val="ListParagraph"/>
        <w:numPr>
          <w:ilvl w:val="0"/>
          <w:numId w:val="2"/>
        </w:numPr>
        <w:spacing w:after="80"/>
      </w:pPr>
      <w:r>
        <w:rPr>
          <w:sz w:val="22"/>
          <w:szCs w:val="22"/>
        </w:rPr>
        <w:t xml:space="preserve">§5 — Does the strictly-necessary PECR exemption cover our local storage, and does the website need a separate cookie position?</w:t>
      </w:r>
    </w:p>
    <w:p>
      <w:pPr>
        <w:pStyle w:val="ListParagraph"/>
        <w:numPr>
          <w:ilvl w:val="0"/>
          <w:numId w:val="2"/>
        </w:numPr>
        <w:spacing w:after="80"/>
      </w:pPr>
      <w:r>
        <w:rPr>
          <w:sz w:val="22"/>
          <w:szCs w:val="22"/>
        </w:rPr>
        <w:t xml:space="preserve">§7 — Which transfer mechanism should we be relying on for Stripe and Kit?</w:t>
      </w:r>
    </w:p>
    <w:p>
      <w:pPr>
        <w:pStyle w:val="ListParagraph"/>
        <w:numPr>
          <w:ilvl w:val="0"/>
          <w:numId w:val="2"/>
        </w:numPr>
        <w:spacing w:after="80"/>
      </w:pPr>
      <w:r>
        <w:rPr>
          <w:sz w:val="22"/>
          <w:szCs w:val="22"/>
        </w:rPr>
        <w:t xml:space="preserve">§11 and §15 — Are our stated breach and complaints procedures adequate for our stage, given neither is formally documented yet?</w:t>
      </w:r>
    </w:p>
    <w:p>
      <w:pPr>
        <w:pStyle w:val="ListParagraph"/>
        <w:numPr>
          <w:ilvl w:val="0"/>
          <w:numId w:val="2"/>
        </w:numPr>
        <w:spacing w:after="80"/>
      </w:pPr>
      <w:r>
        <w:rPr>
          <w:sz w:val="22"/>
          <w:szCs w:val="22"/>
        </w:rPr>
        <w:t xml:space="preserve">Overall — does having this draft change the fee estimate for the adult privacy policy, and does it change what is needed for the children's position?</w:t>
      </w:r>
    </w:p>
    <w:p>
      <w:pPr>
        <w:pStyle w:val="Heading1"/>
        <w:spacing w:after="160" w:before="360"/>
      </w:pPr>
      <w:r>
        <w:rPr>
          <w:b/>
          <w:bCs/>
          <w:color w:val="1F4E5F"/>
          <w:sz w:val="32"/>
          <w:szCs w:val="32"/>
        </w:rPr>
        <w:t xml:space="preserve">H. Sources</w:t>
      </w:r>
    </w:p>
    <w:p>
      <w:pPr>
        <w:spacing w:after="140"/>
      </w:pPr>
      <w:r>
        <w:rPr>
          <w:sz w:val="22"/>
          <w:szCs w:val="22"/>
        </w:rPr>
        <w:t xml:space="preserve">Every link below was checked on 28 August 2026. All ICO pages are Crown copyright, published under the Open Government Licence v3.0.</w:t>
      </w:r>
    </w:p>
    <w:p>
      <w:pPr>
        <w:pStyle w:val="Heading3"/>
        <w:spacing w:after="100" w:before="220"/>
      </w:pPr>
      <w:r>
        <w:rPr>
          <w:b/>
          <w:bCs/>
          <w:sz w:val="23"/>
          <w:szCs w:val="23"/>
        </w:rPr>
        <w:t xml:space="preserve">ICO — transparency and privacy information</w:t>
      </w:r>
    </w:p>
    <w:p>
      <w:pPr>
        <w:pStyle w:val="ListParagraph"/>
        <w:numPr>
          <w:ilvl w:val="0"/>
          <w:numId w:val="2"/>
        </w:numPr>
        <w:spacing w:after="80"/>
      </w:pPr>
      <w:r>
        <w:rPr>
          <w:sz w:val="22"/>
          <w:szCs w:val="22"/>
        </w:rPr>
        <w:t xml:space="preserve">The right to be informed — </w:t>
      </w:r>
      <w:hyperlink w:history="1" r:id="rIdwy5nzzwj_g5nxkcou9rqt">
        <w:r>
          <w:rPr>
            <w:rStyle w:val="Hyperlink"/>
            <w:sz w:val="22"/>
            <w:szCs w:val="22"/>
          </w:rPr>
          <w:t xml:space="preserve">https://ico.org.uk/for-organisations/uk-gdpr-guidance-and-resources/individual-rights/the-right-to-be-informed/</w:t>
        </w:r>
      </w:hyperlink>
    </w:p>
    <w:p>
      <w:pPr>
        <w:pStyle w:val="ListParagraph"/>
        <w:numPr>
          <w:ilvl w:val="0"/>
          <w:numId w:val="2"/>
        </w:numPr>
        <w:spacing w:after="80"/>
      </w:pPr>
      <w:r>
        <w:rPr>
          <w:sz w:val="22"/>
          <w:szCs w:val="22"/>
        </w:rPr>
        <w:t xml:space="preserve">What privacy information should we provide? — </w:t>
      </w:r>
      <w:hyperlink w:history="1" r:id="rIdtig-gwubu-4aqlon2g3d_">
        <w:r>
          <w:rPr>
            <w:rStyle w:val="Hyperlink"/>
            <w:sz w:val="22"/>
            <w:szCs w:val="22"/>
          </w:rPr>
          <w:t xml:space="preserve">https://ico.org.uk/for-organisations/uk-gdpr-guidance-and-resources/individual-rights/the-right-to-be-informed/what-privacy-information-should-we-provide/</w:t>
        </w:r>
      </w:hyperlink>
    </w:p>
    <w:p>
      <w:pPr>
        <w:pStyle w:val="ListParagraph"/>
        <w:numPr>
          <w:ilvl w:val="0"/>
          <w:numId w:val="2"/>
        </w:numPr>
        <w:spacing w:after="80"/>
      </w:pPr>
      <w:r>
        <w:rPr>
          <w:sz w:val="22"/>
          <w:szCs w:val="22"/>
        </w:rPr>
        <w:t xml:space="preserve">How should we draft our privacy information? — </w:t>
      </w:r>
      <w:hyperlink w:history="1" r:id="rIdwxvaox_jgcmoysf4jq6zq">
        <w:r>
          <w:rPr>
            <w:rStyle w:val="Hyperlink"/>
            <w:sz w:val="22"/>
            <w:szCs w:val="22"/>
          </w:rPr>
          <w:t xml:space="preserve">https://ico.org.uk/for-organisations/uk-gdpr-guidance-and-resources/individual-rights/the-right-to-be-informed/how-should-we-draft-our-privacy-information/</w:t>
        </w:r>
      </w:hyperlink>
    </w:p>
    <w:p>
      <w:pPr>
        <w:pStyle w:val="ListParagraph"/>
        <w:numPr>
          <w:ilvl w:val="0"/>
          <w:numId w:val="2"/>
        </w:numPr>
        <w:spacing w:after="80"/>
      </w:pPr>
      <w:r>
        <w:rPr>
          <w:sz w:val="22"/>
          <w:szCs w:val="22"/>
        </w:rPr>
        <w:t xml:space="preserve">What methods can we use to provide privacy information? — </w:t>
      </w:r>
      <w:hyperlink w:history="1" r:id="rIdxvevoyjpxlfjyu12rgxou">
        <w:r>
          <w:rPr>
            <w:rStyle w:val="Hyperlink"/>
            <w:sz w:val="22"/>
            <w:szCs w:val="22"/>
          </w:rPr>
          <w:t xml:space="preserve">https://ico.org.uk/for-organisations/uk-gdpr-guidance-and-resources/individual-rights/the-right-to-be-informed/what-methods-can-we-use-to-provide-privacy-information/</w:t>
        </w:r>
      </w:hyperlink>
    </w:p>
    <w:p>
      <w:pPr>
        <w:pStyle w:val="ListParagraph"/>
        <w:numPr>
          <w:ilvl w:val="0"/>
          <w:numId w:val="2"/>
        </w:numPr>
        <w:spacing w:after="80"/>
      </w:pPr>
      <w:r>
        <w:rPr>
          <w:sz w:val="22"/>
          <w:szCs w:val="22"/>
        </w:rPr>
        <w:t xml:space="preserve">How to write a privacy notice (small organisations) — </w:t>
      </w:r>
      <w:hyperlink w:history="1" r:id="rIdz1zcfhvjbgjgyqru057vz">
        <w:r>
          <w:rPr>
            <w:rStyle w:val="Hyperlink"/>
            <w:sz w:val="22"/>
            <w:szCs w:val="22"/>
          </w:rPr>
          <w:t xml:space="preserve">https://ico.org.uk/for-organisations/advice-for-small-organisations/privacy-notices-and-cookies/how-to-write-a-privacy-notice-and-what-goes-in-it/</w:t>
        </w:r>
      </w:hyperlink>
    </w:p>
    <w:p>
      <w:pPr>
        <w:pStyle w:val="Heading3"/>
        <w:spacing w:after="100" w:before="220"/>
      </w:pPr>
      <w:r>
        <w:rPr>
          <w:b/>
          <w:bCs/>
          <w:sz w:val="23"/>
          <w:szCs w:val="23"/>
        </w:rPr>
        <w:t xml:space="preserve">ICO — lawful basis and special category data</w:t>
      </w:r>
    </w:p>
    <w:p>
      <w:pPr>
        <w:pStyle w:val="ListParagraph"/>
        <w:numPr>
          <w:ilvl w:val="0"/>
          <w:numId w:val="2"/>
        </w:numPr>
        <w:spacing w:after="80"/>
      </w:pPr>
      <w:r>
        <w:rPr>
          <w:sz w:val="22"/>
          <w:szCs w:val="22"/>
        </w:rPr>
        <w:t xml:space="preserve">Special category data — </w:t>
      </w:r>
      <w:hyperlink w:history="1" r:id="rIds1svzqgqzzal7m5mvji1-">
        <w:r>
          <w:rPr>
            <w:rStyle w:val="Hyperlink"/>
            <w:sz w:val="22"/>
            <w:szCs w:val="22"/>
          </w:rPr>
          <w:t xml:space="preserve">https://ico.org.uk/for-organisations/uk-gdpr-guidance-and-resources/lawful-basis/a-guide-to-lawful-basis/special-category-data/</w:t>
        </w:r>
      </w:hyperlink>
    </w:p>
    <w:p>
      <w:pPr>
        <w:pStyle w:val="ListParagraph"/>
        <w:numPr>
          <w:ilvl w:val="0"/>
          <w:numId w:val="2"/>
        </w:numPr>
        <w:spacing w:after="80"/>
      </w:pPr>
      <w:r>
        <w:rPr>
          <w:sz w:val="22"/>
          <w:szCs w:val="22"/>
        </w:rPr>
        <w:t xml:space="preserve">What are the rules on special category data? — </w:t>
      </w:r>
      <w:hyperlink w:history="1" r:id="rIdolf_jyiius23q-3veqmi3">
        <w:r>
          <w:rPr>
            <w:rStyle w:val="Hyperlink"/>
            <w:sz w:val="22"/>
            <w:szCs w:val="22"/>
          </w:rPr>
          <w:t xml:space="preserve">https://ico.org.uk/for-organisations/uk-gdpr-guidance-and-resources/lawful-basis/special-category-data/what-are-the-rules-on-special-category-data/</w:t>
        </w:r>
      </w:hyperlink>
    </w:p>
    <w:p>
      <w:pPr>
        <w:pStyle w:val="ListParagraph"/>
        <w:numPr>
          <w:ilvl w:val="0"/>
          <w:numId w:val="2"/>
        </w:numPr>
        <w:spacing w:after="80"/>
      </w:pPr>
      <w:r>
        <w:rPr>
          <w:sz w:val="22"/>
          <w:szCs w:val="22"/>
        </w:rPr>
        <w:t xml:space="preserve">What are the conditions for processing? — </w:t>
      </w:r>
      <w:hyperlink w:history="1" r:id="rIdczxo-prisvafim3gkx9em">
        <w:r>
          <w:rPr>
            <w:rStyle w:val="Hyperlink"/>
            <w:sz w:val="22"/>
            <w:szCs w:val="22"/>
          </w:rPr>
          <w:t xml:space="preserve">https://ico.org.uk/for-organisations/uk-gdpr-guidance-and-resources/lawful-basis/special-category-data/what-are-the-conditions-for-processing/</w:t>
        </w:r>
      </w:hyperlink>
    </w:p>
    <w:p>
      <w:pPr>
        <w:pStyle w:val="ListParagraph"/>
        <w:numPr>
          <w:ilvl w:val="0"/>
          <w:numId w:val="2"/>
        </w:numPr>
        <w:spacing w:after="80"/>
      </w:pPr>
      <w:r>
        <w:rPr>
          <w:sz w:val="22"/>
          <w:szCs w:val="22"/>
        </w:rPr>
        <w:t xml:space="preserve">When is consent appropriate? — </w:t>
      </w:r>
      <w:hyperlink w:history="1" r:id="rId0td_tfjhbbnstxenyqylj">
        <w:r>
          <w:rPr>
            <w:rStyle w:val="Hyperlink"/>
            <w:sz w:val="22"/>
            <w:szCs w:val="22"/>
          </w:rPr>
          <w:t xml:space="preserve">https://ico.org.uk/for-organisations/uk-gdpr-guidance-and-resources/lawful-basis/consent/when-is-consent-appropriate/</w:t>
        </w:r>
      </w:hyperlink>
    </w:p>
    <w:p>
      <w:pPr>
        <w:pStyle w:val="Heading3"/>
        <w:spacing w:after="100" w:before="220"/>
      </w:pPr>
      <w:r>
        <w:rPr>
          <w:b/>
          <w:bCs/>
          <w:sz w:val="23"/>
          <w:szCs w:val="23"/>
        </w:rPr>
        <w:t xml:space="preserve">ICO — individual rights and timing</w:t>
      </w:r>
    </w:p>
    <w:p>
      <w:pPr>
        <w:pStyle w:val="ListParagraph"/>
        <w:numPr>
          <w:ilvl w:val="0"/>
          <w:numId w:val="2"/>
        </w:numPr>
        <w:spacing w:after="80"/>
      </w:pPr>
      <w:r>
        <w:rPr>
          <w:sz w:val="22"/>
          <w:szCs w:val="22"/>
        </w:rPr>
        <w:t xml:space="preserve">A guide to subject access — </w:t>
      </w:r>
      <w:hyperlink w:history="1" r:id="rIdaminvhbys8qtziqrys4pz">
        <w:r>
          <w:rPr>
            <w:rStyle w:val="Hyperlink"/>
            <w:sz w:val="22"/>
            <w:szCs w:val="22"/>
          </w:rPr>
          <w:t xml:space="preserve">https://ico.org.uk/for-organisations/uk-gdpr-guidance-and-resources/subject-access-requests/a-guide-to-subject-access/</w:t>
        </w:r>
      </w:hyperlink>
    </w:p>
    <w:p>
      <w:pPr>
        <w:pStyle w:val="ListParagraph"/>
        <w:numPr>
          <w:ilvl w:val="0"/>
          <w:numId w:val="2"/>
        </w:numPr>
        <w:spacing w:after="80"/>
      </w:pPr>
      <w:r>
        <w:rPr>
          <w:sz w:val="22"/>
          <w:szCs w:val="22"/>
        </w:rPr>
        <w:t xml:space="preserve">Time limits for responding to data protection rights requests — </w:t>
      </w:r>
      <w:hyperlink w:history="1" r:id="rId8eirho3yemtaogccqyvg8">
        <w:r>
          <w:rPr>
            <w:rStyle w:val="Hyperlink"/>
            <w:sz w:val="22"/>
            <w:szCs w:val="22"/>
          </w:rPr>
          <w:t xml:space="preserve">https://ico.org.uk/for-the-public/time-limits-for-responding-to-data-protection-rights-requests/</w:t>
        </w:r>
      </w:hyperlink>
    </w:p>
    <w:p>
      <w:pPr>
        <w:pStyle w:val="Heading3"/>
        <w:spacing w:after="100" w:before="220"/>
      </w:pPr>
      <w:r>
        <w:rPr>
          <w:b/>
          <w:bCs/>
          <w:sz w:val="23"/>
          <w:szCs w:val="23"/>
        </w:rPr>
        <w:t xml:space="preserve">ICO — complaints, breach, DPIA</w:t>
      </w:r>
    </w:p>
    <w:p>
      <w:pPr>
        <w:pStyle w:val="ListParagraph"/>
        <w:numPr>
          <w:ilvl w:val="0"/>
          <w:numId w:val="2"/>
        </w:numPr>
        <w:spacing w:after="80"/>
      </w:pPr>
      <w:r>
        <w:rPr>
          <w:sz w:val="22"/>
          <w:szCs w:val="22"/>
        </w:rPr>
        <w:t xml:space="preserve">How to deal with data protection complaints — </w:t>
      </w:r>
      <w:hyperlink w:history="1" r:id="rIdv5sr5f9ss6fjfymjpu2vq">
        <w:r>
          <w:rPr>
            <w:rStyle w:val="Hyperlink"/>
            <w:sz w:val="22"/>
            <w:szCs w:val="22"/>
          </w:rPr>
          <w:t xml:space="preserve">https://ico.org.uk/for-organisations/how-to-deal-with-data-protection-complaints/</w:t>
        </w:r>
      </w:hyperlink>
    </w:p>
    <w:p>
      <w:pPr>
        <w:pStyle w:val="ListParagraph"/>
        <w:numPr>
          <w:ilvl w:val="0"/>
          <w:numId w:val="2"/>
        </w:numPr>
        <w:spacing w:after="80"/>
      </w:pPr>
      <w:r>
        <w:rPr>
          <w:sz w:val="22"/>
          <w:szCs w:val="22"/>
        </w:rPr>
        <w:t xml:space="preserve">Personal data breaches: a guide — </w:t>
      </w:r>
      <w:hyperlink w:history="1" r:id="rId3lf1lvijesumhgweym0_r">
        <w:r>
          <w:rPr>
            <w:rStyle w:val="Hyperlink"/>
            <w:sz w:val="22"/>
            <w:szCs w:val="22"/>
          </w:rPr>
          <w:t xml:space="preserve">https://ico.org.uk/for-organisations/report-a-breach/personal-data-breach/personal-data-breaches-a-guide/</w:t>
        </w:r>
      </w:hyperlink>
    </w:p>
    <w:p>
      <w:pPr>
        <w:pStyle w:val="ListParagraph"/>
        <w:numPr>
          <w:ilvl w:val="0"/>
          <w:numId w:val="2"/>
        </w:numPr>
        <w:spacing w:after="80"/>
      </w:pPr>
      <w:r>
        <w:rPr>
          <w:sz w:val="22"/>
          <w:szCs w:val="22"/>
        </w:rPr>
        <w:t xml:space="preserve">72 hours: how to respond to a personal data breach — </w:t>
      </w:r>
      <w:hyperlink w:history="1" r:id="rIdnv-viyuxac9k8phpctg_b">
        <w:r>
          <w:rPr>
            <w:rStyle w:val="Hyperlink"/>
            <w:sz w:val="22"/>
            <w:szCs w:val="22"/>
          </w:rPr>
          <w:t xml:space="preserve">https://ico.org.uk/for-organisations/advice-for-small-organisations/personal-data-breaches/72-hours-how-to-respond-to-a-personal-data-breach/</w:t>
        </w:r>
      </w:hyperlink>
    </w:p>
    <w:p>
      <w:pPr>
        <w:pStyle w:val="ListParagraph"/>
        <w:numPr>
          <w:ilvl w:val="0"/>
          <w:numId w:val="2"/>
        </w:numPr>
        <w:spacing w:after="80"/>
      </w:pPr>
      <w:r>
        <w:rPr>
          <w:sz w:val="22"/>
          <w:szCs w:val="22"/>
        </w:rPr>
        <w:t xml:space="preserve">When do we need to do a DPIA? — </w:t>
      </w:r>
      <w:hyperlink w:history="1" r:id="rIde82vkadtjlhfaqxwk9p_p">
        <w:r>
          <w:rPr>
            <w:rStyle w:val="Hyperlink"/>
            <w:sz w:val="22"/>
            <w:szCs w:val="22"/>
          </w:rPr>
          <w:t xml:space="preserve">https://ico.org.uk/for-organisations/uk-gdpr-guidance-and-resources/accountability-and-governance/data-protection-impact-assessments-dpias/when-do-we-need-to-do-a-dpia/</w:t>
        </w:r>
      </w:hyperlink>
    </w:p>
    <w:p>
      <w:pPr>
        <w:pStyle w:val="ListParagraph"/>
        <w:numPr>
          <w:ilvl w:val="0"/>
          <w:numId w:val="2"/>
        </w:numPr>
        <w:spacing w:after="80"/>
      </w:pPr>
      <w:r>
        <w:rPr>
          <w:sz w:val="22"/>
          <w:szCs w:val="22"/>
        </w:rPr>
        <w:t xml:space="preserve">Data protection impact assessments — </w:t>
      </w:r>
      <w:hyperlink w:history="1" r:id="rIdgi6ovjqqzxxh4tucjt9zc">
        <w:r>
          <w:rPr>
            <w:rStyle w:val="Hyperlink"/>
            <w:sz w:val="22"/>
            <w:szCs w:val="22"/>
          </w:rPr>
          <w:t xml:space="preserve">https://ico.org.uk/for-organisations/uk-gdpr-guidance-and-resources/accountability-and-governance/guide-to-accountability-and-governance/data-protection-impact-assessments/</w:t>
        </w:r>
      </w:hyperlink>
    </w:p>
    <w:p>
      <w:pPr>
        <w:pStyle w:val="Heading3"/>
        <w:spacing w:after="100" w:before="220"/>
      </w:pPr>
      <w:r>
        <w:rPr>
          <w:b/>
          <w:bCs/>
          <w:sz w:val="23"/>
          <w:szCs w:val="23"/>
        </w:rPr>
        <w:t xml:space="preserve">ICO — registration and fee</w:t>
      </w:r>
    </w:p>
    <w:p>
      <w:pPr>
        <w:pStyle w:val="ListParagraph"/>
        <w:numPr>
          <w:ilvl w:val="0"/>
          <w:numId w:val="2"/>
        </w:numPr>
        <w:spacing w:after="80"/>
      </w:pPr>
      <w:r>
        <w:rPr>
          <w:sz w:val="22"/>
          <w:szCs w:val="22"/>
        </w:rPr>
        <w:t xml:space="preserve">Data protection fee — </w:t>
      </w:r>
      <w:hyperlink w:history="1" r:id="rId3ginir6kso0ahpxlatg7f">
        <w:r>
          <w:rPr>
            <w:rStyle w:val="Hyperlink"/>
            <w:sz w:val="22"/>
            <w:szCs w:val="22"/>
          </w:rPr>
          <w:t xml:space="preserve">https://ico.org.uk/for-organisations/data-protection-fee/</w:t>
        </w:r>
      </w:hyperlink>
    </w:p>
    <w:p>
      <w:pPr>
        <w:pStyle w:val="ListParagraph"/>
        <w:numPr>
          <w:ilvl w:val="0"/>
          <w:numId w:val="2"/>
        </w:numPr>
        <w:spacing w:after="80"/>
      </w:pPr>
      <w:r>
        <w:rPr>
          <w:sz w:val="22"/>
          <w:szCs w:val="22"/>
        </w:rPr>
        <w:t xml:space="preserve">Data protection fee self-assessment — </w:t>
      </w:r>
      <w:hyperlink w:history="1" r:id="rIdrduek8ixy0tolwmocfcm4">
        <w:r>
          <w:rPr>
            <w:rStyle w:val="Hyperlink"/>
            <w:sz w:val="22"/>
            <w:szCs w:val="22"/>
          </w:rPr>
          <w:t xml:space="preserve">https://ico.org.uk/for-organisations/data-protection-fee/data-protection-fee-self-assessment/</w:t>
        </w:r>
      </w:hyperlink>
    </w:p>
    <w:p>
      <w:pPr>
        <w:pStyle w:val="ListParagraph"/>
        <w:numPr>
          <w:ilvl w:val="0"/>
          <w:numId w:val="2"/>
        </w:numPr>
        <w:spacing w:after="80"/>
      </w:pPr>
      <w:r>
        <w:rPr>
          <w:sz w:val="22"/>
          <w:szCs w:val="22"/>
        </w:rPr>
        <w:t xml:space="preserve">Register — </w:t>
      </w:r>
      <w:hyperlink w:history="1" r:id="rIdjbxcocid_ecrcw4cxarlj">
        <w:r>
          <w:rPr>
            <w:rStyle w:val="Hyperlink"/>
            <w:sz w:val="22"/>
            <w:szCs w:val="22"/>
          </w:rPr>
          <w:t xml:space="preserve">https://ico.org.uk/for-organisations/data-protection-fee/register/</w:t>
        </w:r>
      </w:hyperlink>
    </w:p>
    <w:p>
      <w:pPr>
        <w:pStyle w:val="Heading3"/>
        <w:spacing w:after="100" w:before="220"/>
      </w:pPr>
      <w:r>
        <w:rPr>
          <w:b/>
          <w:bCs/>
          <w:sz w:val="23"/>
          <w:szCs w:val="23"/>
        </w:rPr>
        <w:t xml:space="preserve">ICO — marketing and children</w:t>
      </w:r>
    </w:p>
    <w:p>
      <w:pPr>
        <w:pStyle w:val="ListParagraph"/>
        <w:numPr>
          <w:ilvl w:val="0"/>
          <w:numId w:val="2"/>
        </w:numPr>
        <w:spacing w:after="80"/>
      </w:pPr>
      <w:r>
        <w:rPr>
          <w:sz w:val="22"/>
          <w:szCs w:val="22"/>
        </w:rPr>
        <w:t xml:space="preserve">Electronic mail marketing (PECR) — </w:t>
      </w:r>
      <w:hyperlink w:history="1" r:id="rId8t4jkuzbvtiov52yazu0x">
        <w:r>
          <w:rPr>
            <w:rStyle w:val="Hyperlink"/>
            <w:sz w:val="22"/>
            <w:szCs w:val="22"/>
          </w:rPr>
          <w:t xml:space="preserve">https://ico.org.uk/for-organisations/direct-marketing-and-privacy-and-electronic-communications/guide-to-pecr/electronic-and-telephone-marketing/electronic-mail-marketing/</w:t>
        </w:r>
      </w:hyperlink>
    </w:p>
    <w:p>
      <w:pPr>
        <w:pStyle w:val="ListParagraph"/>
        <w:numPr>
          <w:ilvl w:val="0"/>
          <w:numId w:val="2"/>
        </w:numPr>
        <w:spacing w:after="80"/>
      </w:pPr>
      <w:r>
        <w:rPr>
          <w:sz w:val="22"/>
          <w:szCs w:val="22"/>
        </w:rPr>
        <w:t xml:space="preserve">How do we comply with the PECR electronic mail marketing rules? — </w:t>
      </w:r>
      <w:hyperlink w:history="1" r:id="rIdq5vm-3aytjbts9lu1ffzq">
        <w:r>
          <w:rPr>
            <w:rStyle w:val="Hyperlink"/>
            <w:sz w:val="22"/>
            <w:szCs w:val="22"/>
          </w:rPr>
          <w:t xml:space="preserve">https://ico.org.uk/for-organisations/direct-marketing-and-privacy-and-electronic-communications/guidance-on-direct-marketing-using-electronic-mail/how-do-we-comply-with-the-pecr-electronic-mail-marketing-rules/</w:t>
        </w:r>
      </w:hyperlink>
    </w:p>
    <w:p>
      <w:pPr>
        <w:pStyle w:val="ListParagraph"/>
        <w:numPr>
          <w:ilvl w:val="0"/>
          <w:numId w:val="2"/>
        </w:numPr>
        <w:spacing w:after="80"/>
      </w:pPr>
      <w:r>
        <w:rPr>
          <w:sz w:val="22"/>
          <w:szCs w:val="22"/>
        </w:rPr>
        <w:t xml:space="preserve">Age assurance for the Children's code — </w:t>
      </w:r>
      <w:hyperlink w:history="1" r:id="rIdyfn9k0elt_pyas5z74w2o">
        <w:r>
          <w:rPr>
            <w:rStyle w:val="Hyperlink"/>
            <w:sz w:val="22"/>
            <w:szCs w:val="22"/>
          </w:rPr>
          <w:t xml:space="preserve">https://ico.org.uk/about-the-ico/what-we-do/information-commissioners-opinions/age-assurance-for-the-children-s-code/</w:t>
        </w:r>
      </w:hyperlink>
    </w:p>
    <w:p>
      <w:pPr>
        <w:pStyle w:val="ListParagraph"/>
        <w:numPr>
          <w:ilvl w:val="0"/>
          <w:numId w:val="2"/>
        </w:numPr>
        <w:spacing w:after="80"/>
      </w:pPr>
      <w:r>
        <w:rPr>
          <w:sz w:val="22"/>
          <w:szCs w:val="22"/>
        </w:rPr>
        <w:t xml:space="preserve">Age assurance (opinion, section 1) — </w:t>
      </w:r>
      <w:hyperlink w:history="1" r:id="rIdewa91dhcr8bbqey1rbee9">
        <w:r>
          <w:rPr>
            <w:rStyle w:val="Hyperlink"/>
            <w:sz w:val="22"/>
            <w:szCs w:val="22"/>
          </w:rPr>
          <w:t xml:space="preserve">https://ico.org.uk/about-the-ico/what-we-do/information-commissioners-opinions/age-assurance-for-the-children-s-code/1-age-assurance/</w:t>
        </w:r>
      </w:hyperlink>
    </w:p>
    <w:p>
      <w:pPr>
        <w:pStyle w:val="ListParagraph"/>
        <w:numPr>
          <w:ilvl w:val="0"/>
          <w:numId w:val="2"/>
        </w:numPr>
        <w:spacing w:after="80"/>
      </w:pPr>
      <w:r>
        <w:rPr>
          <w:sz w:val="22"/>
          <w:szCs w:val="22"/>
        </w:rPr>
        <w:t xml:space="preserve">Age assurance in the best interests framework — </w:t>
      </w:r>
      <w:hyperlink w:history="1" r:id="rIdxjdjnkyh399oww6azb3wj">
        <w:r>
          <w:rPr>
            <w:rStyle w:val="Hyperlink"/>
            <w:sz w:val="22"/>
            <w:szCs w:val="22"/>
          </w:rPr>
          <w:t xml:space="preserve">https://ico.org.uk/for-organisations/uk-gdpr-guidance-and-resources/childrens-information/childrens-code-guidance-and-resources/how-to-use-our-guidance-for-standard-one-best-interests-of-the-child/best-interests-framework/age-assurance/</w:t>
        </w:r>
      </w:hyperlink>
    </w:p>
    <w:p>
      <w:pPr>
        <w:pStyle w:val="Heading3"/>
        <w:spacing w:after="100" w:before="220"/>
      </w:pPr>
      <w:r>
        <w:rPr>
          <w:b/>
          <w:bCs/>
          <w:sz w:val="23"/>
          <w:szCs w:val="23"/>
        </w:rPr>
        <w:t xml:space="preserve">Legislation and commentary</w:t>
      </w:r>
    </w:p>
    <w:p>
      <w:pPr>
        <w:pStyle w:val="ListParagraph"/>
        <w:numPr>
          <w:ilvl w:val="0"/>
          <w:numId w:val="2"/>
        </w:numPr>
        <w:spacing w:after="80"/>
      </w:pPr>
      <w:r>
        <w:rPr>
          <w:sz w:val="22"/>
          <w:szCs w:val="22"/>
        </w:rPr>
        <w:t xml:space="preserve">Article 13, UK GDPR (legislation.gov.uk) — </w:t>
      </w:r>
      <w:hyperlink w:history="1" r:id="rId3iyop668le-pecubmsxll">
        <w:r>
          <w:rPr>
            <w:rStyle w:val="Hyperlink"/>
            <w:sz w:val="22"/>
            <w:szCs w:val="22"/>
          </w:rPr>
          <w:t xml:space="preserve">https://www.legislation.gov.uk/eur/2016/679/article/13/data.htm?view=plain</w:t>
        </w:r>
      </w:hyperlink>
    </w:p>
    <w:p>
      <w:pPr>
        <w:pStyle w:val="ListParagraph"/>
        <w:numPr>
          <w:ilvl w:val="0"/>
          <w:numId w:val="2"/>
        </w:numPr>
        <w:spacing w:after="80"/>
      </w:pPr>
      <w:r>
        <w:rPr>
          <w:sz w:val="22"/>
          <w:szCs w:val="22"/>
        </w:rPr>
        <w:t xml:space="preserve">Osborne Clarke on the February 2026 Reddit penalty and age self-declaration — </w:t>
      </w:r>
      <w:hyperlink w:history="1" r:id="rId7tp5gx_sfazemtczitlzc">
        <w:r>
          <w:rPr>
            <w:rStyle w:val="Hyperlink"/>
            <w:sz w:val="22"/>
            <w:szCs w:val="22"/>
          </w:rPr>
          <w:t xml:space="preserve">https://www.osborneclarke.com/insights/uk-ico-fines-online-platform-ps1447m-and-warns-age-self-declaration-not-enough-protect</w:t>
        </w:r>
      </w:hyperlink>
    </w:p>
    <w:p>
      <w:pPr>
        <w:pBdr>
          <w:bottom w:val="single" w:color="8C8C8C" w:sz="6" w:space="1"/>
        </w:pBdr>
        <w:spacing w:after="160" w:before="160"/>
      </w:pPr>
      <w:r>
        <w:rPr>
          <w:sz w:val="2"/>
          <w:szCs w:val="2"/>
        </w:rPr>
        <w:t xml:space="preserve"/>
      </w:r>
    </w:p>
    <w:p>
      <w:pPr>
        <w:spacing w:after="140"/>
      </w:pPr>
      <w:r>
        <w:rPr>
          <w:i/>
          <w:iCs/>
          <w:sz w:val="22"/>
          <w:szCs w:val="22"/>
        </w:rPr>
        <w:t xml:space="preserve">Build New Habits · Alongside: Move · Privacy Policy v4 Compliance Annotations · 28 Aug 2026 v1</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B4F8A"/>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xzcuhuhhr8xsbk1fkvus" Type="http://schemas.openxmlformats.org/officeDocument/2006/relationships/hyperlink" Target="https://ico.org.uk/for-organisations/uk-gdpr-guidance-and-resources/individual-rights/the-right-to-be-informed/how-should-we-draft-our-privacy-information/" TargetMode="External"/><Relationship Id="rIdiizzpxb7lxipugg7rtg2l" Type="http://schemas.openxmlformats.org/officeDocument/2006/relationships/hyperlink" Target="https://ico.org.uk/for-organisations/uk-gdpr-guidance-and-resources/individual-rights/the-right-to-be-informed/what-privacy-information-should-we-provide/" TargetMode="External"/><Relationship Id="rIdcsve4_gx8xnq9bwxfsxn8" Type="http://schemas.openxmlformats.org/officeDocument/2006/relationships/hyperlink" Target="https://ico.org.uk/for-organisations/uk-gdpr-guidance-and-resources/individual-rights/the-right-to-be-informed/what-privacy-information-should-we-provide/" TargetMode="External"/><Relationship Id="rIdollazk7jt-6aqcvyobeg5" Type="http://schemas.openxmlformats.org/officeDocument/2006/relationships/hyperlink" Target="https://www.legislation.gov.uk/eur/2016/679/article/13/data.htm?view=plain" TargetMode="External"/><Relationship Id="rIdtwmyvwsqvxdadyw0sek87" Type="http://schemas.openxmlformats.org/officeDocument/2006/relationships/hyperlink" Target="https://ico.org.uk/for-organisations/uk-gdpr-guidance-and-resources/individual-rights/the-right-to-be-informed/what-privacy-information-should-we-provide/" TargetMode="External"/><Relationship Id="rIdrn6iievqqv94mpm11xvkj" Type="http://schemas.openxmlformats.org/officeDocument/2006/relationships/hyperlink" Target="https://ico.org.uk/for-organisations/uk-gdpr-guidance-and-resources/individual-rights/the-right-to-be-informed/what-privacy-information-should-we-provide/" TargetMode="External"/><Relationship Id="rIdimbn2ugmnnet3zw0lzi4p" Type="http://schemas.openxmlformats.org/officeDocument/2006/relationships/hyperlink" Target="https://ico.org.uk/for-organisations/uk-gdpr-guidance-and-resources/lawful-basis/special-category-data/what-are-the-rules-on-special-category-data/" TargetMode="External"/><Relationship Id="rIdxhhnb0zn4r1rqvdf9hjts" Type="http://schemas.openxmlformats.org/officeDocument/2006/relationships/hyperlink" Target="https://ico.org.uk/for-organisations/uk-gdpr-guidance-and-resources/lawful-basis/special-category-data/what-are-the-conditions-for-processing/" TargetMode="External"/><Relationship Id="rIdv6nzkbsn4h_upxusbmqvr" Type="http://schemas.openxmlformats.org/officeDocument/2006/relationships/hyperlink" Target="https://ico.org.uk/for-organisations/uk-gdpr-guidance-and-resources/individual-rights/the-right-to-be-informed/what-privacy-information-should-we-provide/" TargetMode="External"/><Relationship Id="rIdndlce5sksafnjnjeql4df" Type="http://schemas.openxmlformats.org/officeDocument/2006/relationships/hyperlink" Target="https://ico.org.uk/for-organisations/uk-gdpr-guidance-and-resources/individual-rights/the-right-to-be-informed/what-privacy-information-should-we-provide/" TargetMode="External"/><Relationship Id="rIdvq-s9pov8kdigksp4hkae" Type="http://schemas.openxmlformats.org/officeDocument/2006/relationships/hyperlink" Target="https://ico.org.uk/for-organisations/uk-gdpr-guidance-and-resources/subject-access-requests/a-guide-to-subject-access/" TargetMode="External"/><Relationship Id="rIdprsskagpbkendeq1e4rqe" Type="http://schemas.openxmlformats.org/officeDocument/2006/relationships/hyperlink" Target="https://ico.org.uk/for-the-public/time-limits-for-responding-to-data-protection-rights-requests/" TargetMode="External"/><Relationship Id="rIdk6knitnbcipphvwyjbnri" Type="http://schemas.openxmlformats.org/officeDocument/2006/relationships/hyperlink" Target="https://ico.org.uk/for-organisations/report-a-breach/personal-data-breach/personal-data-breaches-a-guide/" TargetMode="External"/><Relationship Id="rId7efrlqozhxh9ojgfsk_1j" Type="http://schemas.openxmlformats.org/officeDocument/2006/relationships/hyperlink" Target="https://ico.org.uk/for-organisations/advice-for-small-organisations/personal-data-breaches/72-hours-how-to-respond-to-a-personal-data-breach/" TargetMode="External"/><Relationship Id="rIdgpnu1-jmktssf8-u5d8gb" Type="http://schemas.openxmlformats.org/officeDocument/2006/relationships/hyperlink" Target="https://ico.org.uk/about-the-ico/what-we-do/information-commissioners-opinions/age-assurance-for-the-children-s-code/" TargetMode="External"/><Relationship Id="rIdpoiogtobun4z6o0gdnlwu" Type="http://schemas.openxmlformats.org/officeDocument/2006/relationships/hyperlink" Target="https://ico.org.uk/about-the-ico/what-we-do/information-commissioners-opinions/age-assurance-for-the-children-s-code/1-age-assurance/" TargetMode="External"/><Relationship Id="rIdaphtbfpusnrcgnfiov1dv" Type="http://schemas.openxmlformats.org/officeDocument/2006/relationships/hyperlink" Target="https://www.osborneclarke.com/insights/uk-ico-fines-online-platform-ps1447m-and-warns-age-self-declaration-not-enough-protect" TargetMode="External"/><Relationship Id="rIdwwjxtxzjaulw8rggh3guj" Type="http://schemas.openxmlformats.org/officeDocument/2006/relationships/hyperlink" Target="https://ico.org.uk/for-organisations/direct-marketing-and-privacy-and-electronic-communications/guide-to-pecr/electronic-and-telephone-marketing/electronic-mail-marketing/" TargetMode="External"/><Relationship Id="rIdi_z1ha1phuip2zlgewckk" Type="http://schemas.openxmlformats.org/officeDocument/2006/relationships/hyperlink" Target="https://ico.org.uk/for-organisations/uk-gdpr-guidance-and-resources/individual-rights/the-right-to-be-informed/how-should-we-draft-our-privacy-information/" TargetMode="External"/><Relationship Id="rIdn6p_pdnjachrsoeeywlj_" Type="http://schemas.openxmlformats.org/officeDocument/2006/relationships/hyperlink" Target="https://ico.org.uk/for-organisations/how-to-deal-with-data-protection-complaints/" TargetMode="External"/><Relationship Id="rId4ppttbxcaomh_jzdlyuhf" Type="http://schemas.openxmlformats.org/officeDocument/2006/relationships/hyperlink" Target="https://ico.org.uk/for-organisations/uk-gdpr-guidance-and-resources/accountability-and-governance/data-protection-impact-assessments-dpias/when-do-we-need-to-do-a-dpia/" TargetMode="External"/><Relationship Id="rId1dypaububf8_q_thyopw2" Type="http://schemas.openxmlformats.org/officeDocument/2006/relationships/hyperlink" Target="https://ico.org.uk/for-organisations/uk-gdpr-guidance-and-resources/accountability-and-governance/guide-to-accountability-and-governance/data-protection-impact-assessments/" TargetMode="External"/><Relationship Id="rIdbnxhf9olnckd0yvvflwrl" Type="http://schemas.openxmlformats.org/officeDocument/2006/relationships/hyperlink" Target="https://ico.org.uk/for-organisations/data-protection-fee/" TargetMode="External"/><Relationship Id="rIdbldbs63bfsagpqxnv24ta" Type="http://schemas.openxmlformats.org/officeDocument/2006/relationships/hyperlink" Target="https://ico.org.uk/for-organisations/data-protection-fee/data-protection-fee-self-assessment/" TargetMode="External"/><Relationship Id="rIdmrjgpvmrtwjet_ejdbq0e" Type="http://schemas.openxmlformats.org/officeDocument/2006/relationships/hyperlink" Target="https://ico.org.uk/for-organisations/data-protection-fee/register/" TargetMode="External"/><Relationship Id="rIdb1hyko6wmslnjc6jwmumz" Type="http://schemas.openxmlformats.org/officeDocument/2006/relationships/hyperlink" Target="https://ico.org.uk/for-organisations/how-to-deal-with-data-protection-complaints/" TargetMode="External"/><Relationship Id="rIdwy5nzzwj_g5nxkcou9rqt" Type="http://schemas.openxmlformats.org/officeDocument/2006/relationships/hyperlink" Target="https://ico.org.uk/for-organisations/uk-gdpr-guidance-and-resources/individual-rights/the-right-to-be-informed/" TargetMode="External"/><Relationship Id="rIdtig-gwubu-4aqlon2g3d_" Type="http://schemas.openxmlformats.org/officeDocument/2006/relationships/hyperlink" Target="https://ico.org.uk/for-organisations/uk-gdpr-guidance-and-resources/individual-rights/the-right-to-be-informed/what-privacy-information-should-we-provide/" TargetMode="External"/><Relationship Id="rIdwxvaox_jgcmoysf4jq6zq" Type="http://schemas.openxmlformats.org/officeDocument/2006/relationships/hyperlink" Target="https://ico.org.uk/for-organisations/uk-gdpr-guidance-and-resources/individual-rights/the-right-to-be-informed/how-should-we-draft-our-privacy-information/" TargetMode="External"/><Relationship Id="rIdxvevoyjpxlfjyu12rgxou" Type="http://schemas.openxmlformats.org/officeDocument/2006/relationships/hyperlink" Target="https://ico.org.uk/for-organisations/uk-gdpr-guidance-and-resources/individual-rights/the-right-to-be-informed/what-methods-can-we-use-to-provide-privacy-information/" TargetMode="External"/><Relationship Id="rIdz1zcfhvjbgjgyqru057vz" Type="http://schemas.openxmlformats.org/officeDocument/2006/relationships/hyperlink" Target="https://ico.org.uk/for-organisations/advice-for-small-organisations/privacy-notices-and-cookies/how-to-write-a-privacy-notice-and-what-goes-in-it/" TargetMode="External"/><Relationship Id="rIds1svzqgqzzal7m5mvji1-" Type="http://schemas.openxmlformats.org/officeDocument/2006/relationships/hyperlink" Target="https://ico.org.uk/for-organisations/uk-gdpr-guidance-and-resources/lawful-basis/a-guide-to-lawful-basis/special-category-data/" TargetMode="External"/><Relationship Id="rIdolf_jyiius23q-3veqmi3" Type="http://schemas.openxmlformats.org/officeDocument/2006/relationships/hyperlink" Target="https://ico.org.uk/for-organisations/uk-gdpr-guidance-and-resources/lawful-basis/special-category-data/what-are-the-rules-on-special-category-data/" TargetMode="External"/><Relationship Id="rIdczxo-prisvafim3gkx9em" Type="http://schemas.openxmlformats.org/officeDocument/2006/relationships/hyperlink" Target="https://ico.org.uk/for-organisations/uk-gdpr-guidance-and-resources/lawful-basis/special-category-data/what-are-the-conditions-for-processing/" TargetMode="External"/><Relationship Id="rId0td_tfjhbbnstxenyqylj" Type="http://schemas.openxmlformats.org/officeDocument/2006/relationships/hyperlink" Target="https://ico.org.uk/for-organisations/uk-gdpr-guidance-and-resources/lawful-basis/consent/when-is-consent-appropriate/" TargetMode="External"/><Relationship Id="rIdaminvhbys8qtziqrys4pz" Type="http://schemas.openxmlformats.org/officeDocument/2006/relationships/hyperlink" Target="https://ico.org.uk/for-organisations/uk-gdpr-guidance-and-resources/subject-access-requests/a-guide-to-subject-access/" TargetMode="External"/><Relationship Id="rId8eirho3yemtaogccqyvg8" Type="http://schemas.openxmlformats.org/officeDocument/2006/relationships/hyperlink" Target="https://ico.org.uk/for-the-public/time-limits-for-responding-to-data-protection-rights-requests/" TargetMode="External"/><Relationship Id="rIdv5sr5f9ss6fjfymjpu2vq" Type="http://schemas.openxmlformats.org/officeDocument/2006/relationships/hyperlink" Target="https://ico.org.uk/for-organisations/how-to-deal-with-data-protection-complaints/" TargetMode="External"/><Relationship Id="rId3lf1lvijesumhgweym0_r" Type="http://schemas.openxmlformats.org/officeDocument/2006/relationships/hyperlink" Target="https://ico.org.uk/for-organisations/report-a-breach/personal-data-breach/personal-data-breaches-a-guide/" TargetMode="External"/><Relationship Id="rIdnv-viyuxac9k8phpctg_b" Type="http://schemas.openxmlformats.org/officeDocument/2006/relationships/hyperlink" Target="https://ico.org.uk/for-organisations/advice-for-small-organisations/personal-data-breaches/72-hours-how-to-respond-to-a-personal-data-breach/" TargetMode="External"/><Relationship Id="rIde82vkadtjlhfaqxwk9p_p" Type="http://schemas.openxmlformats.org/officeDocument/2006/relationships/hyperlink" Target="https://ico.org.uk/for-organisations/uk-gdpr-guidance-and-resources/accountability-and-governance/data-protection-impact-assessments-dpias/when-do-we-need-to-do-a-dpia/" TargetMode="External"/><Relationship Id="rIdgi6ovjqqzxxh4tucjt9zc" Type="http://schemas.openxmlformats.org/officeDocument/2006/relationships/hyperlink" Target="https://ico.org.uk/for-organisations/uk-gdpr-guidance-and-resources/accountability-and-governance/guide-to-accountability-and-governance/data-protection-impact-assessments/" TargetMode="External"/><Relationship Id="rId3ginir6kso0ahpxlatg7f" Type="http://schemas.openxmlformats.org/officeDocument/2006/relationships/hyperlink" Target="https://ico.org.uk/for-organisations/data-protection-fee/" TargetMode="External"/><Relationship Id="rIdrduek8ixy0tolwmocfcm4" Type="http://schemas.openxmlformats.org/officeDocument/2006/relationships/hyperlink" Target="https://ico.org.uk/for-organisations/data-protection-fee/data-protection-fee-self-assessment/" TargetMode="External"/><Relationship Id="rIdjbxcocid_ecrcw4cxarlj" Type="http://schemas.openxmlformats.org/officeDocument/2006/relationships/hyperlink" Target="https://ico.org.uk/for-organisations/data-protection-fee/register/" TargetMode="External"/><Relationship Id="rId8t4jkuzbvtiov52yazu0x" Type="http://schemas.openxmlformats.org/officeDocument/2006/relationships/hyperlink" Target="https://ico.org.uk/for-organisations/direct-marketing-and-privacy-and-electronic-communications/guide-to-pecr/electronic-and-telephone-marketing/electronic-mail-marketing/" TargetMode="External"/><Relationship Id="rIdq5vm-3aytjbts9lu1ffzq" Type="http://schemas.openxmlformats.org/officeDocument/2006/relationships/hyperlink" Target="https://ico.org.uk/for-organisations/direct-marketing-and-privacy-and-electronic-communications/guidance-on-direct-marketing-using-electronic-mail/how-do-we-comply-with-the-pecr-electronic-mail-marketing-rules/" TargetMode="External"/><Relationship Id="rIdyfn9k0elt_pyas5z74w2o" Type="http://schemas.openxmlformats.org/officeDocument/2006/relationships/hyperlink" Target="https://ico.org.uk/about-the-ico/what-we-do/information-commissioners-opinions/age-assurance-for-the-children-s-code/" TargetMode="External"/><Relationship Id="rIdewa91dhcr8bbqey1rbee9" Type="http://schemas.openxmlformats.org/officeDocument/2006/relationships/hyperlink" Target="https://ico.org.uk/about-the-ico/what-we-do/information-commissioners-opinions/age-assurance-for-the-children-s-code/1-age-assurance/" TargetMode="External"/><Relationship Id="rIdxjdjnkyh399oww6azb3wj" Type="http://schemas.openxmlformats.org/officeDocument/2006/relationships/hyperlink" Target="https://ico.org.uk/for-organisations/uk-gdpr-guidance-and-resources/childrens-information/childrens-code-guidance-and-resources/how-to-use-our-guidance-for-standard-one-best-interests-of-the-child/best-interests-framework/age-assurance/" TargetMode="External"/><Relationship Id="rId3iyop668le-pecubmsxll" Type="http://schemas.openxmlformats.org/officeDocument/2006/relationships/hyperlink" Target="https://www.legislation.gov.uk/eur/2016/679/article/13/data.htm?view=plain" TargetMode="External"/><Relationship Id="rId7tp5gx_sfazemtczitlzc" Type="http://schemas.openxmlformats.org/officeDocument/2006/relationships/hyperlink" Target="https://www.osborneclarke.com/insights/uk-ico-fines-online-platform-ps1447m-and-warns-age-self-declaration-not-enough-protect" TargetMode="External"/><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2026-08-28T06:54:01.985Z</dcterms:created>
  <dcterms:modified xsi:type="dcterms:W3CDTF">2026-08-28T06:54:01.985Z</dcterms:modified>
</cp:coreProperties>
</file>

<file path=docProps/custom.xml><?xml version="1.0" encoding="utf-8"?>
<Properties xmlns="http://schemas.openxmlformats.org/officeDocument/2006/custom-properties" xmlns:vt="http://schemas.openxmlformats.org/officeDocument/2006/docPropsVTypes"/>
</file>