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BUILD NEW HABITS</w:t>
      </w:r>
    </w:p>
    <w:p>
      <w:pPr>
        <w:spacing w:after="40"/>
      </w:pPr>
      <w:r>
        <w:rPr>
          <w:b/>
          <w:bCs/>
          <w:color w:val="1F4E5F"/>
          <w:sz w:val="36"/>
          <w:szCs w:val="36"/>
        </w:rPr>
        <w:t xml:space="preserve">Privacy Policy — Alongside: Move</w:t>
      </w:r>
    </w:p>
    <w:p>
      <w:pPr>
        <w:spacing w:after="200"/>
      </w:pPr>
      <w:r>
        <w:rPr>
          <w:b/>
          <w:bCs/>
          <w:sz w:val="22"/>
          <w:szCs w:val="22"/>
        </w:rPr>
        <w:t xml:space="preserve">28 Aug 2026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7" w:val="clear"/>
            <w:tcMar>
              <w:top w:type="dxa" w:w="120"/>
              <w:left w:type="dxa" w:w="160"/>
              <w:bottom w:type="dxa" w:w="120"/>
              <w:right w:type="dxa" w:w="160"/>
            </w:tcMar>
          </w:tcPr>
          <w:p>
            <w:pPr>
              <w:spacing w:after="60"/>
            </w:pPr>
            <w:r>
              <w:rPr>
                <w:b/>
                <w:bCs/>
                <w:color w:val="1F4E5F"/>
                <w:sz w:val="21"/>
                <w:szCs w:val="21"/>
              </w:rPr>
              <w:t xml:space="preserve">Draft — for solicitor review, not for publication</w:t>
            </w:r>
          </w:p>
          <w:p>
            <w:r>
              <w:rPr>
                <w:sz w:val="21"/>
                <w:szCs w:val="21"/>
              </w:rPr>
              <w:t xml:space="preserve">Items marked TO CONFIRM are placeholders or open questions. A companion document, alongside_privacy_policy_annotations_28aug2026_v1, sets out where each section of this policy meets a specific ICO requirement, with sources.</w:t>
            </w:r>
          </w:p>
        </w:tc>
      </w:tr>
    </w:tbl>
    <w:p>
      <w:pPr>
        <w:spacing w:after="140"/>
      </w:pPr>
      <w:r>
        <w:rPr>
          <w:sz w:val="22"/>
          <w:szCs w:val="22"/>
        </w:rPr>
        <w:t xml:space="preserve"/>
      </w:r>
    </w:p>
    <w:p>
      <w:pPr>
        <w:spacing w:after="140"/>
      </w:pPr>
      <w:r>
        <w:rPr>
          <w:b/>
          <w:bCs/>
          <w:sz w:val="22"/>
          <w:szCs w:val="22"/>
        </w:rPr>
        <w:t xml:space="preserve">What changed from v3</w:t>
      </w:r>
    </w:p>
    <w:p>
      <w:pPr>
        <w:pStyle w:val="ListParagraph"/>
        <w:numPr>
          <w:ilvl w:val="0"/>
          <w:numId w:val="2"/>
        </w:numPr>
        <w:spacing w:after="80"/>
      </w:pPr>
      <w:r>
        <w:rPr>
          <w:sz w:val="22"/>
          <w:szCs w:val="22"/>
        </w:rPr>
        <w:t xml:space="preserve">Article 6 lawful basis and Article 9 special-category condition are now stated separately, as the UK GDPR requires both.</w:t>
      </w:r>
    </w:p>
    <w:p>
      <w:pPr>
        <w:pStyle w:val="ListParagraph"/>
        <w:numPr>
          <w:ilvl w:val="0"/>
          <w:numId w:val="2"/>
        </w:numPr>
        <w:spacing w:after="80"/>
      </w:pPr>
      <w:r>
        <w:rPr>
          <w:sz w:val="22"/>
          <w:szCs w:val="22"/>
        </w:rPr>
        <w:t xml:space="preserve">Response times corrected from "30 days" to "one calendar month", with the complex-request extension explained.</w:t>
      </w:r>
    </w:p>
    <w:p>
      <w:pPr>
        <w:pStyle w:val="ListParagraph"/>
        <w:numPr>
          <w:ilvl w:val="0"/>
          <w:numId w:val="2"/>
        </w:numPr>
        <w:spacing w:after="80"/>
      </w:pPr>
      <w:r>
        <w:rPr>
          <w:sz w:val="22"/>
          <w:szCs w:val="22"/>
        </w:rPr>
        <w:t xml:space="preserve">Section 15 rewritten for the statutory right to complain to us directly, in force since 19 June 2026.</w:t>
      </w:r>
    </w:p>
    <w:p>
      <w:pPr>
        <w:pStyle w:val="ListParagraph"/>
        <w:numPr>
          <w:ilvl w:val="0"/>
          <w:numId w:val="2"/>
        </w:numPr>
        <w:spacing w:after="80"/>
      </w:pPr>
      <w:r>
        <w:rPr>
          <w:sz w:val="22"/>
          <w:szCs w:val="22"/>
        </w:rPr>
        <w:t xml:space="preserve">New sections added: automated personalisation, local storage, where data is processed, and defined retention periods.</w:t>
      </w:r>
    </w:p>
    <w:p>
      <w:pPr>
        <w:pStyle w:val="ListParagraph"/>
        <w:numPr>
          <w:ilvl w:val="0"/>
          <w:numId w:val="2"/>
        </w:numPr>
        <w:spacing w:after="80"/>
      </w:pPr>
      <w:r>
        <w:rPr>
          <w:sz w:val="22"/>
          <w:szCs w:val="22"/>
        </w:rPr>
        <w:t xml:space="preserve">Right to restriction added. Right to object separated out. Two broken internal cross-references fixed.</w:t>
      </w:r>
    </w:p>
    <w:p>
      <w:pPr>
        <w:pBdr>
          <w:bottom w:val="single" w:color="8C8C8C" w:sz="6" w:space="1"/>
        </w:pBdr>
        <w:spacing w:after="160" w:before="1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AEE" w:val="clear"/>
            <w:tcMar>
              <w:top w:type="dxa" w:w="80"/>
              <w:left w:type="dxa" w:w="110"/>
              <w:bottom w:type="dxa" w:w="80"/>
              <w:right w:type="dxa" w:w="110"/>
            </w:tcMar>
          </w:tcPr>
          <w:p>
            <w:r>
              <w:rPr>
                <w:b/>
                <w:bCs/>
                <w:sz w:val="20"/>
                <w:szCs w:val="20"/>
              </w:rPr>
              <w:t xml:space="preserve">Field</w:t>
            </w:r>
          </w:p>
        </w:tc>
        <w:tc>
          <w:tcPr>
            <w:tcW w:type="dxa" w:w="6760"/>
            <w:shd w:fill="E4EAEE" w:val="clear"/>
            <w:tcMar>
              <w:top w:type="dxa" w:w="80"/>
              <w:left w:type="dxa" w:w="110"/>
              <w:bottom w:type="dxa" w:w="80"/>
              <w:right w:type="dxa" w:w="110"/>
            </w:tcMar>
          </w:tcPr>
          <w:p>
            <w:r>
              <w:rPr>
                <w:b/>
                <w:bCs/>
                <w:sz w:val="20"/>
                <w:szCs w:val="20"/>
              </w:rPr>
              <w:t xml:space="preserve">Detail</w:t>
            </w:r>
          </w:p>
        </w:tc>
      </w:tr>
      <w:tr>
        <w:trPr>
          <w:tblHeader w:val="false"/>
        </w:trPr>
        <w:tc>
          <w:tcPr>
            <w:tcW w:type="dxa" w:w="2600"/>
            <w:tcMar>
              <w:top w:type="dxa" w:w="80"/>
              <w:left w:type="dxa" w:w="110"/>
              <w:bottom w:type="dxa" w:w="80"/>
              <w:right w:type="dxa" w:w="110"/>
            </w:tcMar>
          </w:tcPr>
          <w:p>
            <w:r>
              <w:rPr>
                <w:b w:val="false"/>
                <w:bCs w:val="false"/>
                <w:sz w:val="20"/>
                <w:szCs w:val="20"/>
              </w:rPr>
              <w:t xml:space="preserve">Business name</w:t>
            </w:r>
          </w:p>
        </w:tc>
        <w:tc>
          <w:tcPr>
            <w:tcW w:type="dxa" w:w="6760"/>
            <w:tcMar>
              <w:top w:type="dxa" w:w="80"/>
              <w:left w:type="dxa" w:w="110"/>
              <w:bottom w:type="dxa" w:w="80"/>
              <w:right w:type="dxa" w:w="110"/>
            </w:tcMar>
          </w:tcPr>
          <w:p>
            <w:r>
              <w:rPr>
                <w:b w:val="false"/>
                <w:bCs w:val="false"/>
                <w:sz w:val="20"/>
                <w:szCs w:val="20"/>
              </w:rPr>
              <w:t xml:space="preserve">Build New Habits</w:t>
            </w:r>
          </w:p>
        </w:tc>
      </w:tr>
      <w:tr>
        <w:trPr>
          <w:tblHeader w:val="false"/>
        </w:trPr>
        <w:tc>
          <w:tcPr>
            <w:tcW w:type="dxa" w:w="2600"/>
            <w:tcMar>
              <w:top w:type="dxa" w:w="80"/>
              <w:left w:type="dxa" w:w="110"/>
              <w:bottom w:type="dxa" w:w="80"/>
              <w:right w:type="dxa" w:w="110"/>
            </w:tcMar>
          </w:tcPr>
          <w:p>
            <w:r>
              <w:rPr>
                <w:b w:val="false"/>
                <w:bCs w:val="false"/>
                <w:sz w:val="20"/>
                <w:szCs w:val="20"/>
              </w:rPr>
              <w:t xml:space="preserve">Trading status</w:t>
            </w:r>
          </w:p>
        </w:tc>
        <w:tc>
          <w:tcPr>
            <w:tcW w:type="dxa" w:w="6760"/>
            <w:tcMar>
              <w:top w:type="dxa" w:w="80"/>
              <w:left w:type="dxa" w:w="110"/>
              <w:bottom w:type="dxa" w:w="80"/>
              <w:right w:type="dxa" w:w="110"/>
            </w:tcMar>
          </w:tcPr>
          <w:p>
            <w:pPr>
              <w:spacing w:after="0"/>
            </w:pPr>
            <w:r>
              <w:rPr>
                <w:sz w:val="22"/>
                <w:szCs w:val="22"/>
              </w:rPr>
              <w:t xml:space="preserve">Sole trader (Graeme Wright). </w:t>
            </w:r>
            <w:r>
              <w:rPr>
                <w:b/>
                <w:bCs/>
                <w:sz w:val="22"/>
                <w:szCs w:val="22"/>
              </w:rPr>
              <w:t xml:space="preserve">TO CONFIRM: HMRC sole-trader registration in progress, not yet complete.</w:t>
            </w:r>
          </w:p>
        </w:tc>
      </w:tr>
      <w:tr>
        <w:trPr>
          <w:tblHeader w:val="false"/>
        </w:trPr>
        <w:tc>
          <w:tcPr>
            <w:tcW w:type="dxa" w:w="2600"/>
            <w:tcMar>
              <w:top w:type="dxa" w:w="80"/>
              <w:left w:type="dxa" w:w="110"/>
              <w:bottom w:type="dxa" w:w="80"/>
              <w:right w:type="dxa" w:w="110"/>
            </w:tcMar>
          </w:tcPr>
          <w:p>
            <w:r>
              <w:rPr>
                <w:b w:val="false"/>
                <w:bCs w:val="false"/>
                <w:sz w:val="20"/>
                <w:szCs w:val="20"/>
              </w:rPr>
              <w:t xml:space="preserve">Product</w:t>
            </w:r>
          </w:p>
        </w:tc>
        <w:tc>
          <w:tcPr>
            <w:tcW w:type="dxa" w:w="6760"/>
            <w:tcMar>
              <w:top w:type="dxa" w:w="80"/>
              <w:left w:type="dxa" w:w="110"/>
              <w:bottom w:type="dxa" w:w="80"/>
              <w:right w:type="dxa" w:w="110"/>
            </w:tcMar>
          </w:tcPr>
          <w:p>
            <w:r>
              <w:rPr>
                <w:b w:val="false"/>
                <w:bCs w:val="false"/>
                <w:sz w:val="20"/>
                <w:szCs w:val="20"/>
              </w:rPr>
              <w:t xml:space="preserve">Alongside: Move</w:t>
            </w:r>
          </w:p>
        </w:tc>
      </w:tr>
      <w:tr>
        <w:trPr>
          <w:tblHeader w:val="false"/>
        </w:trPr>
        <w:tc>
          <w:tcPr>
            <w:tcW w:type="dxa" w:w="2600"/>
            <w:tcMar>
              <w:top w:type="dxa" w:w="80"/>
              <w:left w:type="dxa" w:w="110"/>
              <w:bottom w:type="dxa" w:w="80"/>
              <w:right w:type="dxa" w:w="110"/>
            </w:tcMar>
          </w:tcPr>
          <w:p>
            <w:r>
              <w:rPr>
                <w:b w:val="false"/>
                <w:bCs w:val="false"/>
                <w:sz w:val="20"/>
                <w:szCs w:val="20"/>
              </w:rPr>
              <w:t xml:space="preserve">Data controller</w:t>
            </w:r>
          </w:p>
        </w:tc>
        <w:tc>
          <w:tcPr>
            <w:tcW w:type="dxa" w:w="6760"/>
            <w:tcMar>
              <w:top w:type="dxa" w:w="80"/>
              <w:left w:type="dxa" w:w="110"/>
              <w:bottom w:type="dxa" w:w="80"/>
              <w:right w:type="dxa" w:w="110"/>
            </w:tcMar>
          </w:tcPr>
          <w:p>
            <w:r>
              <w:rPr>
                <w:b w:val="false"/>
                <w:bCs w:val="false"/>
                <w:sz w:val="20"/>
                <w:szCs w:val="20"/>
              </w:rPr>
              <w:t xml:space="preserve">Graeme Wright, trading as Build New Habits</w:t>
            </w:r>
          </w:p>
        </w:tc>
      </w:tr>
      <w:tr>
        <w:trPr>
          <w:tblHeader w:val="false"/>
        </w:trPr>
        <w:tc>
          <w:tcPr>
            <w:tcW w:type="dxa" w:w="2600"/>
            <w:tcMar>
              <w:top w:type="dxa" w:w="80"/>
              <w:left w:type="dxa" w:w="110"/>
              <w:bottom w:type="dxa" w:w="80"/>
              <w:right w:type="dxa" w:w="110"/>
            </w:tcMar>
          </w:tcPr>
          <w:p>
            <w:r>
              <w:rPr>
                <w:b w:val="false"/>
                <w:bCs w:val="false"/>
                <w:sz w:val="20"/>
                <w:szCs w:val="20"/>
              </w:rPr>
              <w:t xml:space="preserve">Contact</w:t>
            </w:r>
          </w:p>
        </w:tc>
        <w:tc>
          <w:tcPr>
            <w:tcW w:type="dxa" w:w="6760"/>
            <w:tcMar>
              <w:top w:type="dxa" w:w="80"/>
              <w:left w:type="dxa" w:w="110"/>
              <w:bottom w:type="dxa" w:w="80"/>
              <w:right w:type="dxa" w:w="110"/>
            </w:tcMar>
          </w:tcPr>
          <w:p>
            <w:r>
              <w:rPr>
                <w:b w:val="false"/>
                <w:bCs w:val="false"/>
                <w:sz w:val="20"/>
                <w:szCs w:val="20"/>
              </w:rPr>
              <w:t xml:space="preserve">hello@buildnewhabits.co.uk</w:t>
            </w:r>
          </w:p>
        </w:tc>
      </w:tr>
      <w:tr>
        <w:trPr>
          <w:tblHeader w:val="false"/>
        </w:trPr>
        <w:tc>
          <w:tcPr>
            <w:tcW w:type="dxa" w:w="2600"/>
            <w:tcMar>
              <w:top w:type="dxa" w:w="80"/>
              <w:left w:type="dxa" w:w="110"/>
              <w:bottom w:type="dxa" w:w="80"/>
              <w:right w:type="dxa" w:w="110"/>
            </w:tcMar>
          </w:tcPr>
          <w:p>
            <w:r>
              <w:rPr>
                <w:b w:val="false"/>
                <w:bCs w:val="false"/>
                <w:sz w:val="20"/>
                <w:szCs w:val="20"/>
              </w:rPr>
              <w:t xml:space="preserve">ICO registration number</w:t>
            </w:r>
          </w:p>
        </w:tc>
        <w:tc>
          <w:tcPr>
            <w:tcW w:type="dxa" w:w="6760"/>
            <w:tcMar>
              <w:top w:type="dxa" w:w="80"/>
              <w:left w:type="dxa" w:w="110"/>
              <w:bottom w:type="dxa" w:w="80"/>
              <w:right w:type="dxa" w:w="110"/>
            </w:tcMar>
          </w:tcPr>
          <w:p>
            <w:pPr>
              <w:spacing w:after="0"/>
            </w:pPr>
            <w:r>
              <w:rPr>
                <w:b/>
                <w:bCs/>
                <w:sz w:val="22"/>
                <w:szCs w:val="22"/>
              </w:rPr>
              <w:t xml:space="preserve">TO CONFIRM: not yet obtained. To be inserted before publication. Registration is planned immediately before any real user data is collected.</w:t>
            </w:r>
          </w:p>
        </w:tc>
      </w:tr>
      <w:tr>
        <w:trPr>
          <w:tblHeader w:val="false"/>
        </w:trPr>
        <w:tc>
          <w:tcPr>
            <w:tcW w:type="dxa" w:w="2600"/>
            <w:tcMar>
              <w:top w:type="dxa" w:w="80"/>
              <w:left w:type="dxa" w:w="110"/>
              <w:bottom w:type="dxa" w:w="80"/>
              <w:right w:type="dxa" w:w="110"/>
            </w:tcMar>
          </w:tcPr>
          <w:p>
            <w:r>
              <w:rPr>
                <w:b w:val="false"/>
                <w:bCs w:val="false"/>
                <w:sz w:val="20"/>
                <w:szCs w:val="20"/>
              </w:rPr>
              <w:t xml:space="preserve">Last updated</w:t>
            </w:r>
          </w:p>
        </w:tc>
        <w:tc>
          <w:tcPr>
            <w:tcW w:type="dxa" w:w="6760"/>
            <w:tcMar>
              <w:top w:type="dxa" w:w="80"/>
              <w:left w:type="dxa" w:w="110"/>
              <w:bottom w:type="dxa" w:w="80"/>
              <w:right w:type="dxa" w:w="110"/>
            </w:tcMar>
          </w:tcPr>
          <w:p>
            <w:pPr>
              <w:spacing w:after="0"/>
            </w:pPr>
            <w:r>
              <w:rPr>
                <w:b/>
                <w:bCs/>
                <w:sz w:val="22"/>
                <w:szCs w:val="22"/>
              </w:rPr>
              <w:t xml:space="preserve">TO CONFIRM: date set on publication.</w:t>
            </w:r>
          </w:p>
        </w:tc>
      </w:tr>
    </w:tbl>
    <w:p>
      <w:pPr>
        <w:pStyle w:val="Heading1"/>
        <w:spacing w:after="160" w:before="360"/>
      </w:pPr>
      <w:r>
        <w:rPr>
          <w:b/>
          <w:bCs/>
          <w:color w:val="1F4E5F"/>
          <w:sz w:val="32"/>
          <w:szCs w:val="32"/>
        </w:rPr>
        <w:t xml:space="preserve">1. Who we are</w:t>
      </w:r>
    </w:p>
    <w:p>
      <w:pPr>
        <w:spacing w:after="140"/>
      </w:pPr>
      <w:r>
        <w:rPr>
          <w:sz w:val="22"/>
          <w:szCs w:val="22"/>
        </w:rPr>
        <w:t xml:space="preserve">Build New Habits is a sole trader business run by Graeme Wright, based in Taunton, Somerset. Our product, Alongside: Move, is a movement and wellbeing coaching app built for people who have been let down by mainstream fitness — including neurodivergent adults, people navigating hormonal change, and people managing chronic conditions.</w:t>
      </w:r>
    </w:p>
    <w:p>
      <w:pPr>
        <w:spacing w:after="140"/>
      </w:pPr>
      <w:r>
        <w:rPr>
          <w:sz w:val="22"/>
          <w:szCs w:val="22"/>
        </w:rPr>
        <w:t xml:space="preserve">Graeme Wright, trading as Build New Habits, is the data controller for everything described here. That means we decide what information is collected and why, and we are responsible for looking after it. You can contact us about anything in this policy at hello@buildnewhabits.co.uk.</w:t>
      </w:r>
    </w:p>
    <w:p>
      <w:pPr>
        <w:spacing w:after="140"/>
      </w:pPr>
      <w:r>
        <w:rPr>
          <w:sz w:val="22"/>
          <w:szCs w:val="22"/>
        </w:rPr>
        <w:t xml:space="preserve">We are not required to appoint a Data Protection Officer, and we have not appointed one. Graeme Wright is personally accountable for data protection at Build New Habits.</w:t>
      </w:r>
    </w:p>
    <w:p>
      <w:pPr>
        <w:spacing w:after="140"/>
      </w:pPr>
      <w:r>
        <w:rPr>
          <w:b/>
          <w:bCs/>
          <w:sz w:val="22"/>
          <w:szCs w:val="22"/>
        </w:rPr>
        <w:t xml:space="preserve">TO CONFIRM: </w:t>
      </w:r>
      <w:r>
        <w:rPr>
          <w:b/>
          <w:bCs/>
          <w:sz w:val="22"/>
          <w:szCs w:val="22"/>
        </w:rPr>
        <w:t xml:space="preserve">We are not yet registered with the Information Commissioner's Office. Registration will be completed, and this policy updated with the reference number, before the app collects data from real users.</w:t>
      </w:r>
    </w:p>
    <w:p>
      <w:pPr>
        <w:pStyle w:val="Heading1"/>
        <w:spacing w:after="160" w:before="360"/>
      </w:pPr>
      <w:r>
        <w:rPr>
          <w:b/>
          <w:bCs/>
          <w:color w:val="1F4E5F"/>
          <w:sz w:val="32"/>
          <w:szCs w:val="32"/>
        </w:rPr>
        <w:t xml:space="preserve">2. What we collect, and why</w:t>
      </w:r>
    </w:p>
    <w:p>
      <w:pPr>
        <w:pStyle w:val="Heading2"/>
        <w:spacing w:after="120" w:before="280"/>
      </w:pPr>
      <w:r>
        <w:rPr>
          <w:b/>
          <w:bCs/>
          <w:color w:val="1F4E5F"/>
          <w:sz w:val="26"/>
          <w:szCs w:val="26"/>
        </w:rPr>
        <w:t xml:space="preserve">Account information</w:t>
      </w:r>
    </w:p>
    <w:p>
      <w:pPr>
        <w:spacing w:after="140"/>
      </w:pPr>
      <w:r>
        <w:rPr>
          <w:sz w:val="22"/>
          <w:szCs w:val="22"/>
        </w:rPr>
        <w:t xml:space="preserve">We collect your email address to create your account and to send you a magic link for signing in. We ask for your date of birth at account creation to confirm you meet our minimum age requirement once that check is enabled (see Section 12).</w:t>
      </w:r>
    </w:p>
    <w:p>
      <w:pPr>
        <w:pStyle w:val="Heading2"/>
        <w:spacing w:after="120" w:before="280"/>
      </w:pPr>
      <w:r>
        <w:rPr>
          <w:b/>
          <w:bCs/>
          <w:color w:val="1F4E5F"/>
          <w:sz w:val="26"/>
          <w:szCs w:val="26"/>
        </w:rPr>
        <w:t xml:space="preserve">Health and wellbeing information</w:t>
      </w:r>
    </w:p>
    <w:p>
      <w:pPr>
        <w:spacing w:after="140"/>
      </w:pPr>
      <w:r>
        <w:rPr>
          <w:sz w:val="22"/>
          <w:szCs w:val="22"/>
        </w:rPr>
        <w:t xml:space="preserve">Alongside collects health-related information including: physical conditions you tell us about; pain location and severity; energy and mood readings from your daily check-in; sleep information; menstrual cycle phase, if you choose to provide it; and patterns we derive from this history.</w:t>
      </w:r>
    </w:p>
    <w:p>
      <w:pPr>
        <w:spacing w:after="140"/>
      </w:pPr>
      <w:r>
        <w:rPr>
          <w:sz w:val="22"/>
          <w:szCs w:val="22"/>
        </w:rPr>
        <w:t xml:space="preserve">This is special category data under the UK GDPR and carries the highest level of protection. We collect it only with your explicit, freely given, informed consent, and only to generate movement that is safe for the body you are in today.</w:t>
      </w:r>
    </w:p>
    <w:p>
      <w:pPr>
        <w:spacing w:after="140"/>
      </w:pPr>
      <w:r>
        <w:rPr>
          <w:sz w:val="22"/>
          <w:szCs w:val="22"/>
        </w:rPr>
        <w:t xml:space="preserve">You do not have to give us any of it. Alongside works without it — you will get a general session rather than one shaped around you, and some features will be unavailable. Nothing else changes, and we will not ask you again unless you tell us to.</w:t>
      </w:r>
    </w:p>
    <w:p>
      <w:pPr>
        <w:pStyle w:val="Heading2"/>
        <w:spacing w:after="120" w:before="280"/>
      </w:pPr>
      <w:r>
        <w:rPr>
          <w:b/>
          <w:bCs/>
          <w:color w:val="1F4E5F"/>
          <w:sz w:val="26"/>
          <w:szCs w:val="26"/>
        </w:rPr>
        <w:t xml:space="preserve">Your journal, and your feeling-word selections</w:t>
      </w:r>
    </w:p>
    <w:p>
      <w:pPr>
        <w:spacing w:after="140"/>
      </w:pPr>
      <w:r>
        <w:rPr>
          <w:sz w:val="22"/>
          <w:szCs w:val="22"/>
        </w:rPr>
        <w:t xml:space="preserve">These are two different features with two different rules, and we keep that distinction firm.</w:t>
      </w:r>
    </w:p>
    <w:p>
      <w:pPr>
        <w:spacing w:after="140"/>
      </w:pPr>
      <w:r>
        <w:rPr>
          <w:sz w:val="22"/>
          <w:szCs w:val="22"/>
        </w:rPr>
        <w:t xml:space="preserve">If you use the free-text journal, that text is stored so you can look back on it. It is never scanned, never matched against word lists, and never used to trigger any automated response of any kind. Nobody at Build New Habits reads it. It exists for you.</w:t>
      </w:r>
    </w:p>
    <w:p>
      <w:pPr>
        <w:spacing w:after="140"/>
      </w:pPr>
      <w:r>
        <w:rPr>
          <w:sz w:val="22"/>
          <w:szCs w:val="22"/>
        </w:rPr>
        <w:t xml:space="preserve">Separately, the app offers a fixed list of feeling-words you can select, and a mood history built from those selections. Some feeling-word selections may show you a fixed, pre-written message pointing toward external support. That is a static signpost, not an assessment of you.</w:t>
      </w:r>
    </w:p>
    <w:p>
      <w:pPr>
        <w:pStyle w:val="Heading2"/>
        <w:spacing w:after="120" w:before="280"/>
      </w:pPr>
      <w:r>
        <w:rPr>
          <w:b/>
          <w:bCs/>
          <w:color w:val="1F4E5F"/>
          <w:sz w:val="26"/>
          <w:szCs w:val="26"/>
        </w:rPr>
        <w:t xml:space="preserve">Payment information</w:t>
      </w:r>
    </w:p>
    <w:p>
      <w:pPr>
        <w:spacing w:after="140"/>
      </w:pPr>
      <w:r>
        <w:rPr>
          <w:sz w:val="22"/>
          <w:szCs w:val="22"/>
        </w:rPr>
        <w:t xml:space="preserve">If you subscribe to the Plan, payment is handled entirely by Stripe. We never see or store your card details. We hold a record that a payment was made, and when.</w:t>
      </w:r>
    </w:p>
    <w:p>
      <w:pPr>
        <w:pStyle w:val="Heading2"/>
        <w:spacing w:after="120" w:before="280"/>
      </w:pPr>
      <w:r>
        <w:rPr>
          <w:b/>
          <w:bCs/>
          <w:color w:val="1F4E5F"/>
          <w:sz w:val="26"/>
          <w:szCs w:val="26"/>
        </w:rPr>
        <w:t xml:space="preserve">Usage data</w:t>
      </w:r>
    </w:p>
    <w:p>
      <w:pPr>
        <w:spacing w:after="140"/>
      </w:pPr>
      <w:r>
        <w:rPr>
          <w:sz w:val="22"/>
          <w:szCs w:val="22"/>
        </w:rPr>
        <w:t xml:space="preserve">We use Plausible Analytics to understand aggregate usage. It collects no personal data and sets no tracking cookies.</w:t>
      </w:r>
    </w:p>
    <w:p>
      <w:pPr>
        <w:pStyle w:val="Heading2"/>
        <w:spacing w:after="120" w:before="280"/>
      </w:pPr>
      <w:r>
        <w:rPr>
          <w:b/>
          <w:bCs/>
          <w:color w:val="1F4E5F"/>
          <w:sz w:val="26"/>
          <w:szCs w:val="26"/>
        </w:rPr>
        <w:t xml:space="preserve">Technical error data</w:t>
      </w:r>
    </w:p>
    <w:p>
      <w:pPr>
        <w:spacing w:after="140"/>
      </w:pPr>
      <w:r>
        <w:rPr>
          <w:sz w:val="22"/>
          <w:szCs w:val="22"/>
        </w:rPr>
        <w:t xml:space="preserve">We use Sentry, hosted in the EU (Frankfurt), for error monitoring. It is configured to scrub health-related terms from error reports before they leave your device.</w:t>
      </w:r>
    </w:p>
    <w:p>
      <w:pPr>
        <w:pStyle w:val="Heading1"/>
        <w:spacing w:after="160" w:before="360"/>
      </w:pPr>
      <w:r>
        <w:rPr>
          <w:b/>
          <w:bCs/>
          <w:color w:val="1F4E5F"/>
          <w:sz w:val="32"/>
          <w:szCs w:val="32"/>
        </w:rPr>
        <w:t xml:space="preserve">3. Our legal basis for using your data</w:t>
      </w:r>
    </w:p>
    <w:p>
      <w:pPr>
        <w:spacing w:after="140"/>
      </w:pPr>
      <w:r>
        <w:rPr>
          <w:sz w:val="22"/>
          <w:szCs w:val="22"/>
        </w:rPr>
        <w:t xml:space="preserve">Under the UK GDPR we need a lawful basis for everything we do with your data. Where that data is special category data — which health information is — we need a second, separate condition on top. Both are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80"/>
        <w:gridCol w:w="2380"/>
      </w:tblGrid>
      <w:tr>
        <w:trPr>
          <w:tblHeader/>
        </w:trPr>
        <w:tc>
          <w:tcPr>
            <w:tcW w:type="dxa" w:w="2100"/>
            <w:shd w:fill="E4EAEE" w:val="clear"/>
            <w:tcMar>
              <w:top w:type="dxa" w:w="80"/>
              <w:left w:type="dxa" w:w="110"/>
              <w:bottom w:type="dxa" w:w="80"/>
              <w:right w:type="dxa" w:w="110"/>
            </w:tcMar>
          </w:tcPr>
          <w:p>
            <w:r>
              <w:rPr>
                <w:b/>
                <w:bCs/>
                <w:sz w:val="20"/>
                <w:szCs w:val="20"/>
              </w:rPr>
              <w:t xml:space="preserve">What</w:t>
            </w:r>
          </w:p>
        </w:tc>
        <w:tc>
          <w:tcPr>
            <w:tcW w:type="dxa" w:w="2500"/>
            <w:shd w:fill="E4EAEE" w:val="clear"/>
            <w:tcMar>
              <w:top w:type="dxa" w:w="80"/>
              <w:left w:type="dxa" w:w="110"/>
              <w:bottom w:type="dxa" w:w="80"/>
              <w:right w:type="dxa" w:w="110"/>
            </w:tcMar>
          </w:tcPr>
          <w:p>
            <w:r>
              <w:rPr>
                <w:b/>
                <w:bCs/>
                <w:sz w:val="20"/>
                <w:szCs w:val="20"/>
              </w:rPr>
              <w:t xml:space="preserve">Why we use it</w:t>
            </w:r>
          </w:p>
        </w:tc>
        <w:tc>
          <w:tcPr>
            <w:tcW w:type="dxa" w:w="2380"/>
            <w:shd w:fill="E4EAEE" w:val="clear"/>
            <w:tcMar>
              <w:top w:type="dxa" w:w="80"/>
              <w:left w:type="dxa" w:w="110"/>
              <w:bottom w:type="dxa" w:w="80"/>
              <w:right w:type="dxa" w:w="110"/>
            </w:tcMar>
          </w:tcPr>
          <w:p>
            <w:r>
              <w:rPr>
                <w:b/>
                <w:bCs/>
                <w:sz w:val="20"/>
                <w:szCs w:val="20"/>
              </w:rPr>
              <w:t xml:space="preserve">Lawful basis (Art. 6)</w:t>
            </w:r>
          </w:p>
        </w:tc>
        <w:tc>
          <w:tcPr>
            <w:tcW w:type="dxa" w:w="2380"/>
            <w:shd w:fill="E4EAEE" w:val="clear"/>
            <w:tcMar>
              <w:top w:type="dxa" w:w="80"/>
              <w:left w:type="dxa" w:w="110"/>
              <w:bottom w:type="dxa" w:w="80"/>
              <w:right w:type="dxa" w:w="110"/>
            </w:tcMar>
          </w:tcPr>
          <w:p>
            <w:r>
              <w:rPr>
                <w:b/>
                <w:bCs/>
                <w:sz w:val="20"/>
                <w:szCs w:val="20"/>
              </w:rPr>
              <w:t xml:space="preserve">Special category condition (Art. 9)</w:t>
            </w:r>
          </w:p>
        </w:tc>
      </w:tr>
      <w:tr>
        <w:trPr>
          <w:tblHeader w:val="false"/>
        </w:trPr>
        <w:tc>
          <w:tcPr>
            <w:tcW w:type="dxa" w:w="2100"/>
            <w:tcMar>
              <w:top w:type="dxa" w:w="80"/>
              <w:left w:type="dxa" w:w="110"/>
              <w:bottom w:type="dxa" w:w="80"/>
              <w:right w:type="dxa" w:w="110"/>
            </w:tcMar>
          </w:tcPr>
          <w:p>
            <w:r>
              <w:rPr>
                <w:b w:val="false"/>
                <w:bCs w:val="false"/>
                <w:sz w:val="20"/>
                <w:szCs w:val="20"/>
              </w:rPr>
              <w:t xml:space="preserve">Email address and account record</w:t>
            </w:r>
          </w:p>
        </w:tc>
        <w:tc>
          <w:tcPr>
            <w:tcW w:type="dxa" w:w="2500"/>
            <w:tcMar>
              <w:top w:type="dxa" w:w="80"/>
              <w:left w:type="dxa" w:w="110"/>
              <w:bottom w:type="dxa" w:w="80"/>
              <w:right w:type="dxa" w:w="110"/>
            </w:tcMar>
          </w:tcPr>
          <w:p>
            <w:r>
              <w:rPr>
                <w:b w:val="false"/>
                <w:bCs w:val="false"/>
                <w:sz w:val="20"/>
                <w:szCs w:val="20"/>
              </w:rPr>
              <w:t xml:space="preserve">To give you the account you signed up for</w:t>
            </w:r>
          </w:p>
        </w:tc>
        <w:tc>
          <w:tcPr>
            <w:tcW w:type="dxa" w:w="2380"/>
            <w:tcMar>
              <w:top w:type="dxa" w:w="80"/>
              <w:left w:type="dxa" w:w="110"/>
              <w:bottom w:type="dxa" w:w="80"/>
              <w:right w:type="dxa" w:w="110"/>
            </w:tcMar>
          </w:tcPr>
          <w:p>
            <w:r>
              <w:rPr>
                <w:b w:val="false"/>
                <w:bCs w:val="false"/>
                <w:sz w:val="20"/>
                <w:szCs w:val="20"/>
              </w:rPr>
              <w:t xml:space="preserve">Contract — Art. 6(1)(b)</w:t>
            </w:r>
          </w:p>
        </w:tc>
        <w:tc>
          <w:tcPr>
            <w:tcW w:type="dxa" w:w="2380"/>
            <w:tcMar>
              <w:top w:type="dxa" w:w="80"/>
              <w:left w:type="dxa" w:w="110"/>
              <w:bottom w:type="dxa" w:w="80"/>
              <w:right w:type="dxa" w:w="110"/>
            </w:tcMar>
          </w:tcPr>
          <w:p>
            <w:r>
              <w:rPr>
                <w:b w:val="false"/>
                <w:bCs w:val="false"/>
                <w:sz w:val="20"/>
                <w:szCs w:val="20"/>
              </w:rPr>
              <w:t xml:space="preserve">Not applicable</w:t>
            </w:r>
          </w:p>
        </w:tc>
      </w:tr>
      <w:tr>
        <w:trPr>
          <w:tblHeader w:val="false"/>
        </w:trPr>
        <w:tc>
          <w:tcPr>
            <w:tcW w:type="dxa" w:w="2100"/>
            <w:tcMar>
              <w:top w:type="dxa" w:w="80"/>
              <w:left w:type="dxa" w:w="110"/>
              <w:bottom w:type="dxa" w:w="80"/>
              <w:right w:type="dxa" w:w="110"/>
            </w:tcMar>
          </w:tcPr>
          <w:p>
            <w:r>
              <w:rPr>
                <w:b w:val="false"/>
                <w:bCs w:val="false"/>
                <w:sz w:val="20"/>
                <w:szCs w:val="20"/>
              </w:rPr>
              <w:t xml:space="preserve">Date of birth</w:t>
            </w:r>
          </w:p>
        </w:tc>
        <w:tc>
          <w:tcPr>
            <w:tcW w:type="dxa" w:w="2500"/>
            <w:tcMar>
              <w:top w:type="dxa" w:w="80"/>
              <w:left w:type="dxa" w:w="110"/>
              <w:bottom w:type="dxa" w:w="80"/>
              <w:right w:type="dxa" w:w="110"/>
            </w:tcMar>
          </w:tcPr>
          <w:p>
            <w:r>
              <w:rPr>
                <w:b w:val="false"/>
                <w:bCs w:val="false"/>
                <w:sz w:val="20"/>
                <w:szCs w:val="20"/>
              </w:rPr>
              <w:t xml:space="preserve">To confirm you are 18 or over</w:t>
            </w:r>
          </w:p>
        </w:tc>
        <w:tc>
          <w:tcPr>
            <w:tcW w:type="dxa" w:w="2380"/>
            <w:tcMar>
              <w:top w:type="dxa" w:w="80"/>
              <w:left w:type="dxa" w:w="110"/>
              <w:bottom w:type="dxa" w:w="80"/>
              <w:right w:type="dxa" w:w="110"/>
            </w:tcMar>
          </w:tcPr>
          <w:p>
            <w:pPr>
              <w:spacing w:after="0"/>
            </w:pPr>
            <w:r>
              <w:rPr>
                <w:sz w:val="22"/>
                <w:szCs w:val="22"/>
              </w:rPr>
              <w:t xml:space="preserve">Legitimate interests — Art. 6(1)(f). </w:t>
            </w:r>
            <w:r>
              <w:rPr>
                <w:b/>
                <w:bCs/>
                <w:sz w:val="22"/>
                <w:szCs w:val="22"/>
              </w:rPr>
              <w:t xml:space="preserve">TO CONFIRM.</w:t>
            </w:r>
          </w:p>
        </w:tc>
        <w:tc>
          <w:tcPr>
            <w:tcW w:type="dxa" w:w="2380"/>
            <w:tcMar>
              <w:top w:type="dxa" w:w="80"/>
              <w:left w:type="dxa" w:w="110"/>
              <w:bottom w:type="dxa" w:w="80"/>
              <w:right w:type="dxa" w:w="110"/>
            </w:tcMar>
          </w:tcPr>
          <w:p>
            <w:r>
              <w:rPr>
                <w:b w:val="false"/>
                <w:bCs w:val="false"/>
                <w:sz w:val="20"/>
                <w:szCs w:val="20"/>
              </w:rPr>
              <w:t xml:space="preserve">Not applicable</w:t>
            </w:r>
          </w:p>
        </w:tc>
      </w:tr>
      <w:tr>
        <w:trPr>
          <w:tblHeader w:val="false"/>
        </w:trPr>
        <w:tc>
          <w:tcPr>
            <w:tcW w:type="dxa" w:w="2100"/>
            <w:tcMar>
              <w:top w:type="dxa" w:w="80"/>
              <w:left w:type="dxa" w:w="110"/>
              <w:bottom w:type="dxa" w:w="80"/>
              <w:right w:type="dxa" w:w="110"/>
            </w:tcMar>
          </w:tcPr>
          <w:p>
            <w:r>
              <w:rPr>
                <w:b w:val="false"/>
                <w:bCs w:val="false"/>
                <w:sz w:val="20"/>
                <w:szCs w:val="20"/>
              </w:rPr>
              <w:t xml:space="preserve">Conditions, pain, energy, mood, sleep, cycle phase</w:t>
            </w:r>
          </w:p>
        </w:tc>
        <w:tc>
          <w:tcPr>
            <w:tcW w:type="dxa" w:w="2500"/>
            <w:tcMar>
              <w:top w:type="dxa" w:w="80"/>
              <w:left w:type="dxa" w:w="110"/>
              <w:bottom w:type="dxa" w:w="80"/>
              <w:right w:type="dxa" w:w="110"/>
            </w:tcMar>
          </w:tcPr>
          <w:p>
            <w:r>
              <w:rPr>
                <w:b w:val="false"/>
                <w:bCs w:val="false"/>
                <w:sz w:val="20"/>
                <w:szCs w:val="20"/>
              </w:rPr>
              <w:t xml:space="preserve">To generate movement that is safe for you</w:t>
            </w:r>
          </w:p>
        </w:tc>
        <w:tc>
          <w:tcPr>
            <w:tcW w:type="dxa" w:w="2380"/>
            <w:tcMar>
              <w:top w:type="dxa" w:w="80"/>
              <w:left w:type="dxa" w:w="110"/>
              <w:bottom w:type="dxa" w:w="80"/>
              <w:right w:type="dxa" w:w="110"/>
            </w:tcMar>
          </w:tcPr>
          <w:p>
            <w:r>
              <w:rPr>
                <w:b w:val="false"/>
                <w:bCs w:val="false"/>
                <w:sz w:val="20"/>
                <w:szCs w:val="20"/>
              </w:rPr>
              <w:t xml:space="preserve">Consent — Art. 6(1)(a)</w:t>
            </w:r>
          </w:p>
        </w:tc>
        <w:tc>
          <w:tcPr>
            <w:tcW w:type="dxa" w:w="2380"/>
            <w:tcMar>
              <w:top w:type="dxa" w:w="80"/>
              <w:left w:type="dxa" w:w="110"/>
              <w:bottom w:type="dxa" w:w="80"/>
              <w:right w:type="dxa" w:w="110"/>
            </w:tcMar>
          </w:tcPr>
          <w:p>
            <w:r>
              <w:rPr>
                <w:b w:val="false"/>
                <w:bCs w:val="false"/>
                <w:sz w:val="20"/>
                <w:szCs w:val="20"/>
              </w:rPr>
              <w:t xml:space="preserve">Explicit consent — Art. 9(2)(a)</w:t>
            </w:r>
          </w:p>
        </w:tc>
      </w:tr>
      <w:tr>
        <w:trPr>
          <w:tblHeader w:val="false"/>
        </w:trPr>
        <w:tc>
          <w:tcPr>
            <w:tcW w:type="dxa" w:w="2100"/>
            <w:tcMar>
              <w:top w:type="dxa" w:w="80"/>
              <w:left w:type="dxa" w:w="110"/>
              <w:bottom w:type="dxa" w:w="80"/>
              <w:right w:type="dxa" w:w="110"/>
            </w:tcMar>
          </w:tcPr>
          <w:p>
            <w:r>
              <w:rPr>
                <w:b w:val="false"/>
                <w:bCs w:val="false"/>
                <w:sz w:val="20"/>
                <w:szCs w:val="20"/>
              </w:rPr>
              <w:t xml:space="preserve">Journal entries</w:t>
            </w:r>
          </w:p>
        </w:tc>
        <w:tc>
          <w:tcPr>
            <w:tcW w:type="dxa" w:w="2500"/>
            <w:tcMar>
              <w:top w:type="dxa" w:w="80"/>
              <w:left w:type="dxa" w:w="110"/>
              <w:bottom w:type="dxa" w:w="80"/>
              <w:right w:type="dxa" w:w="110"/>
            </w:tcMar>
          </w:tcPr>
          <w:p>
            <w:r>
              <w:rPr>
                <w:b w:val="false"/>
                <w:bCs w:val="false"/>
                <w:sz w:val="20"/>
                <w:szCs w:val="20"/>
              </w:rPr>
              <w:t xml:space="preserve">So you can read them back</w:t>
            </w:r>
          </w:p>
        </w:tc>
        <w:tc>
          <w:tcPr>
            <w:tcW w:type="dxa" w:w="2380"/>
            <w:tcMar>
              <w:top w:type="dxa" w:w="80"/>
              <w:left w:type="dxa" w:w="110"/>
              <w:bottom w:type="dxa" w:w="80"/>
              <w:right w:type="dxa" w:w="110"/>
            </w:tcMar>
          </w:tcPr>
          <w:p>
            <w:r>
              <w:rPr>
                <w:b w:val="false"/>
                <w:bCs w:val="false"/>
                <w:sz w:val="20"/>
                <w:szCs w:val="20"/>
              </w:rPr>
              <w:t xml:space="preserve">Consent — Art. 6(1)(a)</w:t>
            </w:r>
          </w:p>
        </w:tc>
        <w:tc>
          <w:tcPr>
            <w:tcW w:type="dxa" w:w="2380"/>
            <w:tcMar>
              <w:top w:type="dxa" w:w="80"/>
              <w:left w:type="dxa" w:w="110"/>
              <w:bottom w:type="dxa" w:w="80"/>
              <w:right w:type="dxa" w:w="110"/>
            </w:tcMar>
          </w:tcPr>
          <w:p>
            <w:r>
              <w:rPr>
                <w:b w:val="false"/>
                <w:bCs w:val="false"/>
                <w:sz w:val="20"/>
                <w:szCs w:val="20"/>
              </w:rPr>
              <w:t xml:space="preserve">Explicit consent — Art. 9(2)(a)</w:t>
            </w:r>
          </w:p>
        </w:tc>
      </w:tr>
      <w:tr>
        <w:trPr>
          <w:tblHeader w:val="false"/>
        </w:trPr>
        <w:tc>
          <w:tcPr>
            <w:tcW w:type="dxa" w:w="2100"/>
            <w:tcMar>
              <w:top w:type="dxa" w:w="80"/>
              <w:left w:type="dxa" w:w="110"/>
              <w:bottom w:type="dxa" w:w="80"/>
              <w:right w:type="dxa" w:w="110"/>
            </w:tcMar>
          </w:tcPr>
          <w:p>
            <w:r>
              <w:rPr>
                <w:b w:val="false"/>
                <w:bCs w:val="false"/>
                <w:sz w:val="20"/>
                <w:szCs w:val="20"/>
              </w:rPr>
              <w:t xml:space="preserve">Payment record</w:t>
            </w:r>
          </w:p>
        </w:tc>
        <w:tc>
          <w:tcPr>
            <w:tcW w:type="dxa" w:w="2500"/>
            <w:tcMar>
              <w:top w:type="dxa" w:w="80"/>
              <w:left w:type="dxa" w:w="110"/>
              <w:bottom w:type="dxa" w:w="80"/>
              <w:right w:type="dxa" w:w="110"/>
            </w:tcMar>
          </w:tcPr>
          <w:p>
            <w:r>
              <w:rPr>
                <w:b w:val="false"/>
                <w:bCs w:val="false"/>
                <w:sz w:val="20"/>
                <w:szCs w:val="20"/>
              </w:rPr>
              <w:t xml:space="preserve">To take payment for the Plan and meet tax obligations</w:t>
            </w:r>
          </w:p>
        </w:tc>
        <w:tc>
          <w:tcPr>
            <w:tcW w:type="dxa" w:w="2380"/>
            <w:tcMar>
              <w:top w:type="dxa" w:w="80"/>
              <w:left w:type="dxa" w:w="110"/>
              <w:bottom w:type="dxa" w:w="80"/>
              <w:right w:type="dxa" w:w="110"/>
            </w:tcMar>
          </w:tcPr>
          <w:p>
            <w:r>
              <w:rPr>
                <w:b w:val="false"/>
                <w:bCs w:val="false"/>
                <w:sz w:val="20"/>
                <w:szCs w:val="20"/>
              </w:rPr>
              <w:t xml:space="preserve">Contract — Art. 6(1)(b); legal obligation — Art. 6(1)(c) for accounting records</w:t>
            </w:r>
          </w:p>
        </w:tc>
        <w:tc>
          <w:tcPr>
            <w:tcW w:type="dxa" w:w="2380"/>
            <w:tcMar>
              <w:top w:type="dxa" w:w="80"/>
              <w:left w:type="dxa" w:w="110"/>
              <w:bottom w:type="dxa" w:w="80"/>
              <w:right w:type="dxa" w:w="110"/>
            </w:tcMar>
          </w:tcPr>
          <w:p>
            <w:r>
              <w:rPr>
                <w:b w:val="false"/>
                <w:bCs w:val="false"/>
                <w:sz w:val="20"/>
                <w:szCs w:val="20"/>
              </w:rPr>
              <w:t xml:space="preserve">Not applicable</w:t>
            </w:r>
          </w:p>
        </w:tc>
      </w:tr>
      <w:tr>
        <w:trPr>
          <w:tblHeader w:val="false"/>
        </w:trPr>
        <w:tc>
          <w:tcPr>
            <w:tcW w:type="dxa" w:w="2100"/>
            <w:tcMar>
              <w:top w:type="dxa" w:w="80"/>
              <w:left w:type="dxa" w:w="110"/>
              <w:bottom w:type="dxa" w:w="80"/>
              <w:right w:type="dxa" w:w="110"/>
            </w:tcMar>
          </w:tcPr>
          <w:p>
            <w:r>
              <w:rPr>
                <w:b w:val="false"/>
                <w:bCs w:val="false"/>
                <w:sz w:val="20"/>
                <w:szCs w:val="20"/>
              </w:rPr>
              <w:t xml:space="preserve">Marketing email address and consent status</w:t>
            </w:r>
          </w:p>
        </w:tc>
        <w:tc>
          <w:tcPr>
            <w:tcW w:type="dxa" w:w="2500"/>
            <w:tcMar>
              <w:top w:type="dxa" w:w="80"/>
              <w:left w:type="dxa" w:w="110"/>
              <w:bottom w:type="dxa" w:w="80"/>
              <w:right w:type="dxa" w:w="110"/>
            </w:tcMar>
          </w:tcPr>
          <w:p>
            <w:r>
              <w:rPr>
                <w:b w:val="false"/>
                <w:bCs w:val="false"/>
                <w:sz w:val="20"/>
                <w:szCs w:val="20"/>
              </w:rPr>
              <w:t xml:space="preserve">To send you updates you asked for</w:t>
            </w:r>
          </w:p>
        </w:tc>
        <w:tc>
          <w:tcPr>
            <w:tcW w:type="dxa" w:w="2380"/>
            <w:tcMar>
              <w:top w:type="dxa" w:w="80"/>
              <w:left w:type="dxa" w:w="110"/>
              <w:bottom w:type="dxa" w:w="80"/>
              <w:right w:type="dxa" w:w="110"/>
            </w:tcMar>
          </w:tcPr>
          <w:p>
            <w:r>
              <w:rPr>
                <w:b w:val="false"/>
                <w:bCs w:val="false"/>
                <w:sz w:val="20"/>
                <w:szCs w:val="20"/>
              </w:rPr>
              <w:t xml:space="preserve">Consent — Art. 6(1)(a)</w:t>
            </w:r>
          </w:p>
        </w:tc>
        <w:tc>
          <w:tcPr>
            <w:tcW w:type="dxa" w:w="2380"/>
            <w:tcMar>
              <w:top w:type="dxa" w:w="80"/>
              <w:left w:type="dxa" w:w="110"/>
              <w:bottom w:type="dxa" w:w="80"/>
              <w:right w:type="dxa" w:w="110"/>
            </w:tcMar>
          </w:tcPr>
          <w:p>
            <w:r>
              <w:rPr>
                <w:b w:val="false"/>
                <w:bCs w:val="false"/>
                <w:sz w:val="20"/>
                <w:szCs w:val="20"/>
              </w:rPr>
              <w:t xml:space="preserve">Not applicable</w:t>
            </w:r>
          </w:p>
        </w:tc>
      </w:tr>
      <w:tr>
        <w:trPr>
          <w:tblHeader w:val="false"/>
        </w:trPr>
        <w:tc>
          <w:tcPr>
            <w:tcW w:type="dxa" w:w="2100"/>
            <w:tcMar>
              <w:top w:type="dxa" w:w="80"/>
              <w:left w:type="dxa" w:w="110"/>
              <w:bottom w:type="dxa" w:w="80"/>
              <w:right w:type="dxa" w:w="110"/>
            </w:tcMar>
          </w:tcPr>
          <w:p>
            <w:r>
              <w:rPr>
                <w:b w:val="false"/>
                <w:bCs w:val="false"/>
                <w:sz w:val="20"/>
                <w:szCs w:val="20"/>
              </w:rPr>
              <w:t xml:space="preserve">Error reports</w:t>
            </w:r>
          </w:p>
        </w:tc>
        <w:tc>
          <w:tcPr>
            <w:tcW w:type="dxa" w:w="2500"/>
            <w:tcMar>
              <w:top w:type="dxa" w:w="80"/>
              <w:left w:type="dxa" w:w="110"/>
              <w:bottom w:type="dxa" w:w="80"/>
              <w:right w:type="dxa" w:w="110"/>
            </w:tcMar>
          </w:tcPr>
          <w:p>
            <w:r>
              <w:rPr>
                <w:b w:val="false"/>
                <w:bCs w:val="false"/>
                <w:sz w:val="20"/>
                <w:szCs w:val="20"/>
              </w:rPr>
              <w:t xml:space="preserve">To keep the app working</w:t>
            </w:r>
          </w:p>
        </w:tc>
        <w:tc>
          <w:tcPr>
            <w:tcW w:type="dxa" w:w="2380"/>
            <w:tcMar>
              <w:top w:type="dxa" w:w="80"/>
              <w:left w:type="dxa" w:w="110"/>
              <w:bottom w:type="dxa" w:w="80"/>
              <w:right w:type="dxa" w:w="110"/>
            </w:tcMar>
          </w:tcPr>
          <w:p>
            <w:r>
              <w:rPr>
                <w:b w:val="false"/>
                <w:bCs w:val="false"/>
                <w:sz w:val="20"/>
                <w:szCs w:val="20"/>
              </w:rPr>
              <w:t xml:space="preserve">Legitimate interests — Art. 6(1)(f)</w:t>
            </w:r>
          </w:p>
        </w:tc>
        <w:tc>
          <w:tcPr>
            <w:tcW w:type="dxa" w:w="2380"/>
            <w:tcMar>
              <w:top w:type="dxa" w:w="80"/>
              <w:left w:type="dxa" w:w="110"/>
              <w:bottom w:type="dxa" w:w="80"/>
              <w:right w:type="dxa" w:w="110"/>
            </w:tcMar>
          </w:tcPr>
          <w:p>
            <w:r>
              <w:rPr>
                <w:b w:val="false"/>
                <w:bCs w:val="false"/>
                <w:sz w:val="20"/>
                <w:szCs w:val="20"/>
              </w:rPr>
              <w:t xml:space="preserve">Not applicable</w:t>
            </w:r>
          </w:p>
        </w:tc>
      </w:tr>
      <w:tr>
        <w:trPr>
          <w:tblHeader w:val="false"/>
        </w:trPr>
        <w:tc>
          <w:tcPr>
            <w:tcW w:type="dxa" w:w="2100"/>
            <w:tcMar>
              <w:top w:type="dxa" w:w="80"/>
              <w:left w:type="dxa" w:w="110"/>
              <w:bottom w:type="dxa" w:w="80"/>
              <w:right w:type="dxa" w:w="110"/>
            </w:tcMar>
          </w:tcPr>
          <w:p>
            <w:r>
              <w:rPr>
                <w:b w:val="false"/>
                <w:bCs w:val="false"/>
                <w:sz w:val="20"/>
                <w:szCs w:val="20"/>
              </w:rPr>
              <w:t xml:space="preserve">Aggregate usage statistics</w:t>
            </w:r>
          </w:p>
        </w:tc>
        <w:tc>
          <w:tcPr>
            <w:tcW w:type="dxa" w:w="2500"/>
            <w:tcMar>
              <w:top w:type="dxa" w:w="80"/>
              <w:left w:type="dxa" w:w="110"/>
              <w:bottom w:type="dxa" w:w="80"/>
              <w:right w:type="dxa" w:w="110"/>
            </w:tcMar>
          </w:tcPr>
          <w:p>
            <w:r>
              <w:rPr>
                <w:b w:val="false"/>
                <w:bCs w:val="false"/>
                <w:sz w:val="20"/>
                <w:szCs w:val="20"/>
              </w:rPr>
              <w:t xml:space="preserve">To understand how the app is used</w:t>
            </w:r>
          </w:p>
        </w:tc>
        <w:tc>
          <w:tcPr>
            <w:tcW w:type="dxa" w:w="2380"/>
            <w:tcMar>
              <w:top w:type="dxa" w:w="80"/>
              <w:left w:type="dxa" w:w="110"/>
              <w:bottom w:type="dxa" w:w="80"/>
              <w:right w:type="dxa" w:w="110"/>
            </w:tcMar>
          </w:tcPr>
          <w:p>
            <w:r>
              <w:rPr>
                <w:b w:val="false"/>
                <w:bCs w:val="false"/>
                <w:sz w:val="20"/>
                <w:szCs w:val="20"/>
              </w:rPr>
              <w:t xml:space="preserve">Legitimate interests — Art. 6(1)(f)</w:t>
            </w:r>
          </w:p>
        </w:tc>
        <w:tc>
          <w:tcPr>
            <w:tcW w:type="dxa" w:w="2380"/>
            <w:tcMar>
              <w:top w:type="dxa" w:w="80"/>
              <w:left w:type="dxa" w:w="110"/>
              <w:bottom w:type="dxa" w:w="80"/>
              <w:right w:type="dxa" w:w="110"/>
            </w:tcMar>
          </w:tcPr>
          <w:p>
            <w:r>
              <w:rPr>
                <w:b w:val="false"/>
                <w:bCs w:val="false"/>
                <w:sz w:val="20"/>
                <w:szCs w:val="20"/>
              </w:rPr>
              <w:t xml:space="preserve">Not applicable</w:t>
            </w:r>
          </w:p>
        </w:tc>
      </w:tr>
    </w:tbl>
    <w:p>
      <w:pPr>
        <w:spacing w:after="60"/>
      </w:pPr>
      <w:r>
        <w:rPr>
          <w:sz w:val="22"/>
          <w:szCs w:val="22"/>
        </w:rPr>
        <w:t xml:space="preserve"/>
      </w:r>
    </w:p>
    <w:p>
      <w:pPr>
        <w:spacing w:after="140"/>
      </w:pPr>
      <w:r>
        <w:rPr>
          <w:sz w:val="22"/>
          <w:szCs w:val="22"/>
        </w:rPr>
        <w:t xml:space="preserve">Where we rely on legitimate interests, ours are: keeping the app working and secure; understanding in aggregate which parts of it help; and keeping the service to the adult audience it was designed and safety-tested for. We have weighed these against your rights and consider them proportionate, because none of them involve profiling you, tracking you across other services, or sharing your data for anyone else's benefit.</w:t>
      </w:r>
    </w:p>
    <w:p>
      <w:pPr>
        <w:spacing w:after="140"/>
      </w:pPr>
      <w:r>
        <w:rPr>
          <w:sz w:val="22"/>
          <w:szCs w:val="22"/>
        </w:rPr>
        <w:t xml:space="preserve">Where we rely on consent, you can withdraw it at any time from Settings. Withdrawing consent to health data processing deletes that data and returns you to general sessions. It does not close your account, and it is as easy to do as it was to give.</w:t>
      </w:r>
    </w:p>
    <w:p>
      <w:pPr>
        <w:pStyle w:val="Heading1"/>
        <w:spacing w:after="160" w:before="360"/>
      </w:pPr>
      <w:r>
        <w:rPr>
          <w:b/>
          <w:bCs/>
          <w:color w:val="1F4E5F"/>
          <w:sz w:val="32"/>
          <w:szCs w:val="32"/>
        </w:rPr>
        <w:t xml:space="preserve">4. Automated personalisation</w:t>
      </w:r>
    </w:p>
    <w:p>
      <w:pPr>
        <w:spacing w:after="140"/>
      </w:pPr>
      <w:r>
        <w:rPr>
          <w:sz w:val="22"/>
          <w:szCs w:val="22"/>
        </w:rPr>
        <w:t xml:space="preserve">Alongside builds your session automatically from what you tell it in your check-in. That is the product. It is worth being precise about what that does and does not mean.</w:t>
      </w:r>
    </w:p>
    <w:p>
      <w:pPr>
        <w:spacing w:after="140"/>
      </w:pPr>
      <w:r>
        <w:rPr>
          <w:sz w:val="22"/>
          <w:szCs w:val="22"/>
        </w:rPr>
        <w:t xml:space="preserve">The app applies fixed rules to the information you have entered — for example, a severe pain score in a given area removes the movements that load that area. It shows you what it has noticed and what it proposes. You can change any of it, and nothing is generated without your check-in.</w:t>
      </w:r>
    </w:p>
    <w:p>
      <w:pPr>
        <w:spacing w:after="140"/>
      </w:pPr>
      <w:r>
        <w:rPr>
          <w:sz w:val="22"/>
          <w:szCs w:val="22"/>
        </w:rPr>
        <w:t xml:space="preserve">We do not make solely automated decisions about you that produce legal effects or similarly significant effects. No automated process decides your access to the service, your money, your eligibility for anything, or anything at all outside the app itself. The coach displays what you have told it; it does not diagnose you, score you, or form judgements about you.</w:t>
      </w:r>
    </w:p>
    <w:p>
      <w:pPr>
        <w:spacing w:after="140"/>
      </w:pPr>
      <w:r>
        <w:rPr>
          <w:b/>
          <w:bCs/>
          <w:sz w:val="22"/>
          <w:szCs w:val="22"/>
        </w:rPr>
        <w:t xml:space="preserve">TO CONFIRM: </w:t>
      </w:r>
      <w:r>
        <w:rPr>
          <w:b/>
          <w:bCs/>
          <w:sz w:val="22"/>
          <w:szCs w:val="22"/>
        </w:rPr>
        <w:t xml:space="preserve">we would welcome confirmation that this analysis is right, and that no Article 22 duties are engaged.</w:t>
      </w:r>
    </w:p>
    <w:p>
      <w:pPr>
        <w:pStyle w:val="Heading1"/>
        <w:spacing w:after="160" w:before="360"/>
      </w:pPr>
      <w:r>
        <w:rPr>
          <w:b/>
          <w:bCs/>
          <w:color w:val="1F4E5F"/>
          <w:sz w:val="32"/>
          <w:szCs w:val="32"/>
        </w:rPr>
        <w:t xml:space="preserve">5. Storage on your device</w:t>
      </w:r>
    </w:p>
    <w:p>
      <w:pPr>
        <w:spacing w:after="140"/>
      </w:pPr>
      <w:r>
        <w:rPr>
          <w:sz w:val="22"/>
          <w:szCs w:val="22"/>
        </w:rPr>
        <w:t xml:space="preserve">Alongside stores your coaching data in your browser's local storage so the app works offline and opens instantly. This is not advertising or tracking technology — it is how the app functions, and without it there is no app. On that basis we treat it as strictly necessary for the service you have asked for.</w:t>
      </w:r>
    </w:p>
    <w:p>
      <w:pPr>
        <w:spacing w:after="140"/>
      </w:pPr>
      <w:r>
        <w:rPr>
          <w:sz w:val="22"/>
          <w:szCs w:val="22"/>
        </w:rPr>
        <w:t xml:space="preserve">We set no advertising cookies and no cross-site tracking cookies. Plausible Analytics sets no cookies at all.</w:t>
      </w:r>
    </w:p>
    <w:p>
      <w:pPr>
        <w:spacing w:after="140"/>
      </w:pPr>
      <w:r>
        <w:rPr>
          <w:b/>
          <w:bCs/>
          <w:sz w:val="22"/>
          <w:szCs w:val="22"/>
        </w:rPr>
        <w:t xml:space="preserve">TO CONFIRM: </w:t>
      </w:r>
      <w:r>
        <w:rPr>
          <w:b/>
          <w:bCs/>
          <w:sz w:val="22"/>
          <w:szCs w:val="22"/>
        </w:rPr>
        <w:t xml:space="preserve">whether the strictly-necessary exemption under PECR regulation 6 covers this, and whether a separate cookie notice is needed for the website as distinct from the app.</w:t>
      </w:r>
    </w:p>
    <w:p>
      <w:pPr>
        <w:pStyle w:val="Heading1"/>
        <w:spacing w:after="160" w:before="360"/>
      </w:pPr>
      <w:r>
        <w:rPr>
          <w:b/>
          <w:bCs/>
          <w:color w:val="1F4E5F"/>
          <w:sz w:val="32"/>
          <w:szCs w:val="32"/>
        </w:rPr>
        <w:t xml:space="preserve">6. How we store your data</w:t>
      </w:r>
    </w:p>
    <w:p>
      <w:pPr>
        <w:spacing w:after="140"/>
      </w:pPr>
      <w:r>
        <w:rPr>
          <w:b/>
          <w:bCs/>
          <w:sz w:val="22"/>
          <w:szCs w:val="22"/>
        </w:rPr>
        <w:t xml:space="preserve">TO CONFIRM — this section must be resolved to a single, true state before publication. </w:t>
      </w:r>
      <w:r>
        <w:rPr>
          <w:sz w:val="22"/>
          <w:szCs w:val="22"/>
        </w:rPr>
        <w:t xml:space="preserve">At the time of writing, your data is stored locally on your own device and is not held on our servers. We plan to migrate to Supabase, hosted in the EU, before onboarding beta or public users. Once that migration happens, data will be encrypted in transit and at rest, and row-level security will mean you can only ever access your own data.</w:t>
      </w:r>
    </w:p>
    <w:p>
      <w:pPr>
        <w:pStyle w:val="Heading1"/>
        <w:spacing w:after="160" w:before="360"/>
      </w:pPr>
      <w:r>
        <w:rPr>
          <w:b/>
          <w:bCs/>
          <w:color w:val="1F4E5F"/>
          <w:sz w:val="32"/>
          <w:szCs w:val="32"/>
        </w:rPr>
        <w:t xml:space="preserve">7. Where your data is processed</w:t>
      </w:r>
    </w:p>
    <w:p>
      <w:pPr>
        <w:spacing w:after="140"/>
      </w:pPr>
      <w:r>
        <w:rPr>
          <w:sz w:val="22"/>
          <w:szCs w:val="22"/>
        </w:rPr>
        <w:t xml:space="preserve">We choose UK or EU hosting wherever it is available. Some of our suppliers are US companies, which means some data may be transferred outside the UK.</w:t>
      </w:r>
    </w:p>
    <w:p>
      <w:pPr>
        <w:spacing w:after="140"/>
      </w:pPr>
      <w:r>
        <w:rPr>
          <w:b/>
          <w:bCs/>
          <w:sz w:val="22"/>
          <w:szCs w:val="22"/>
        </w:rPr>
        <w:t xml:space="preserve">TO CONFIRM: </w:t>
      </w:r>
      <w:r>
        <w:rPr>
          <w:b/>
          <w:bCs/>
          <w:sz w:val="22"/>
          <w:szCs w:val="22"/>
        </w:rPr>
        <w:t xml:space="preserve">the transfer mechanism relied on for each supplier — UK International Data Transfer Agreement, the UK Addendum to the EU Standard Contractual Clauses, or the UK Extension to the EU-US Data Privacy Framework — and how a copy is made available on request.</w:t>
      </w:r>
    </w:p>
    <w:p>
      <w:pPr>
        <w:pStyle w:val="Heading1"/>
        <w:spacing w:after="160" w:before="360"/>
      </w:pPr>
      <w:r>
        <w:rPr>
          <w:b/>
          <w:bCs/>
          <w:color w:val="1F4E5F"/>
          <w:sz w:val="32"/>
          <w:szCs w:val="32"/>
        </w:rPr>
        <w:t xml:space="preserve">8. Who we share your data with</w:t>
      </w:r>
    </w:p>
    <w:p>
      <w:pPr>
        <w:spacing w:after="140"/>
      </w:pPr>
      <w:r>
        <w:rPr>
          <w:sz w:val="22"/>
          <w:szCs w:val="22"/>
        </w:rPr>
        <w:t xml:space="preserve">We do not sell, rent, or share your personal data for marketing purposes. Your data is shared only with the suppliers below, who process it on our behalf under written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2000"/>
        <w:gridCol w:w="2060"/>
      </w:tblGrid>
      <w:tr>
        <w:trPr>
          <w:tblHeader/>
        </w:trPr>
        <w:tc>
          <w:tcPr>
            <w:tcW w:type="dxa" w:w="2200"/>
            <w:shd w:fill="E4EAEE" w:val="clear"/>
            <w:tcMar>
              <w:top w:type="dxa" w:w="80"/>
              <w:left w:type="dxa" w:w="110"/>
              <w:bottom w:type="dxa" w:w="80"/>
              <w:right w:type="dxa" w:w="110"/>
            </w:tcMar>
          </w:tcPr>
          <w:p>
            <w:r>
              <w:rPr>
                <w:b/>
                <w:bCs/>
                <w:sz w:val="20"/>
                <w:szCs w:val="20"/>
              </w:rPr>
              <w:t xml:space="preserve">Supplier</w:t>
            </w:r>
          </w:p>
        </w:tc>
        <w:tc>
          <w:tcPr>
            <w:tcW w:type="dxa" w:w="3100"/>
            <w:shd w:fill="E4EAEE" w:val="clear"/>
            <w:tcMar>
              <w:top w:type="dxa" w:w="80"/>
              <w:left w:type="dxa" w:w="110"/>
              <w:bottom w:type="dxa" w:w="80"/>
              <w:right w:type="dxa" w:w="110"/>
            </w:tcMar>
          </w:tcPr>
          <w:p>
            <w:r>
              <w:rPr>
                <w:b/>
                <w:bCs/>
                <w:sz w:val="20"/>
                <w:szCs w:val="20"/>
              </w:rPr>
              <w:t xml:space="preserve">What they do</w:t>
            </w:r>
          </w:p>
        </w:tc>
        <w:tc>
          <w:tcPr>
            <w:tcW w:type="dxa" w:w="2000"/>
            <w:shd w:fill="E4EAEE" w:val="clear"/>
            <w:tcMar>
              <w:top w:type="dxa" w:w="80"/>
              <w:left w:type="dxa" w:w="110"/>
              <w:bottom w:type="dxa" w:w="80"/>
              <w:right w:type="dxa" w:w="110"/>
            </w:tcMar>
          </w:tcPr>
          <w:p>
            <w:r>
              <w:rPr>
                <w:b/>
                <w:bCs/>
                <w:sz w:val="20"/>
                <w:szCs w:val="20"/>
              </w:rPr>
              <w:t xml:space="preserve">Where</w:t>
            </w:r>
          </w:p>
        </w:tc>
        <w:tc>
          <w:tcPr>
            <w:tcW w:type="dxa" w:w="2060"/>
            <w:shd w:fill="E4EAEE" w:val="clear"/>
            <w:tcMar>
              <w:top w:type="dxa" w:w="80"/>
              <w:left w:type="dxa" w:w="110"/>
              <w:bottom w:type="dxa" w:w="80"/>
              <w:right w:type="dxa" w:w="110"/>
            </w:tcMar>
          </w:tcPr>
          <w:p>
            <w:r>
              <w:rPr>
                <w:b/>
                <w:bCs/>
                <w:sz w:val="20"/>
                <w:szCs w:val="20"/>
              </w:rPr>
              <w:t xml:space="preserve">Contract status</w:t>
            </w:r>
          </w:p>
        </w:tc>
      </w:tr>
      <w:tr>
        <w:trPr>
          <w:tblHeader w:val="false"/>
        </w:trPr>
        <w:tc>
          <w:tcPr>
            <w:tcW w:type="dxa" w:w="2200"/>
            <w:tcMar>
              <w:top w:type="dxa" w:w="80"/>
              <w:left w:type="dxa" w:w="110"/>
              <w:bottom w:type="dxa" w:w="80"/>
              <w:right w:type="dxa" w:w="110"/>
            </w:tcMar>
          </w:tcPr>
          <w:p>
            <w:r>
              <w:rPr>
                <w:b w:val="false"/>
                <w:bCs w:val="false"/>
                <w:sz w:val="20"/>
                <w:szCs w:val="20"/>
              </w:rPr>
              <w:t xml:space="preserve">Supabase</w:t>
            </w:r>
          </w:p>
        </w:tc>
        <w:tc>
          <w:tcPr>
            <w:tcW w:type="dxa" w:w="3100"/>
            <w:tcMar>
              <w:top w:type="dxa" w:w="80"/>
              <w:left w:type="dxa" w:w="110"/>
              <w:bottom w:type="dxa" w:w="80"/>
              <w:right w:type="dxa" w:w="110"/>
            </w:tcMar>
          </w:tcPr>
          <w:p>
            <w:r>
              <w:rPr>
                <w:b w:val="false"/>
                <w:bCs w:val="false"/>
                <w:sz w:val="20"/>
                <w:szCs w:val="20"/>
              </w:rPr>
              <w:t xml:space="preserve">Database (planned)</w:t>
            </w:r>
          </w:p>
        </w:tc>
        <w:tc>
          <w:tcPr>
            <w:tcW w:type="dxa" w:w="2000"/>
            <w:tcMar>
              <w:top w:type="dxa" w:w="80"/>
              <w:left w:type="dxa" w:w="110"/>
              <w:bottom w:type="dxa" w:w="80"/>
              <w:right w:type="dxa" w:w="110"/>
            </w:tcMar>
          </w:tcPr>
          <w:p>
            <w:r>
              <w:rPr>
                <w:b w:val="false"/>
                <w:bCs w:val="false"/>
                <w:sz w:val="20"/>
                <w:szCs w:val="20"/>
              </w:rPr>
              <w:t xml:space="preserve">EU — Frankfurt</w:t>
            </w:r>
          </w:p>
        </w:tc>
        <w:tc>
          <w:tcPr>
            <w:tcW w:type="dxa" w:w="2060"/>
            <w:tcMar>
              <w:top w:type="dxa" w:w="80"/>
              <w:left w:type="dxa" w:w="110"/>
              <w:bottom w:type="dxa" w:w="80"/>
              <w:right w:type="dxa" w:w="110"/>
            </w:tcMar>
          </w:tcPr>
          <w:p>
            <w:pPr>
              <w:spacing w:after="0"/>
            </w:pPr>
            <w:r>
              <w:rPr>
                <w:b/>
                <w:bCs/>
                <w:sz w:val="22"/>
                <w:szCs w:val="22"/>
              </w:rPr>
              <w:t xml:space="preserve">DPA available; execution in progress. TO CONFIRM.</w:t>
            </w:r>
          </w:p>
        </w:tc>
      </w:tr>
      <w:tr>
        <w:trPr>
          <w:tblHeader w:val="false"/>
        </w:trPr>
        <w:tc>
          <w:tcPr>
            <w:tcW w:type="dxa" w:w="2200"/>
            <w:tcMar>
              <w:top w:type="dxa" w:w="80"/>
              <w:left w:type="dxa" w:w="110"/>
              <w:bottom w:type="dxa" w:w="80"/>
              <w:right w:type="dxa" w:w="110"/>
            </w:tcMar>
          </w:tcPr>
          <w:p>
            <w:r>
              <w:rPr>
                <w:b w:val="false"/>
                <w:bCs w:val="false"/>
                <w:sz w:val="20"/>
                <w:szCs w:val="20"/>
              </w:rPr>
              <w:t xml:space="preserve">Stripe</w:t>
            </w:r>
          </w:p>
        </w:tc>
        <w:tc>
          <w:tcPr>
            <w:tcW w:type="dxa" w:w="3100"/>
            <w:tcMar>
              <w:top w:type="dxa" w:w="80"/>
              <w:left w:type="dxa" w:w="110"/>
              <w:bottom w:type="dxa" w:w="80"/>
              <w:right w:type="dxa" w:w="110"/>
            </w:tcMar>
          </w:tcPr>
          <w:p>
            <w:r>
              <w:rPr>
                <w:b w:val="false"/>
                <w:bCs w:val="false"/>
                <w:sz w:val="20"/>
                <w:szCs w:val="20"/>
              </w:rPr>
              <w:t xml:space="preserve">Payment processing</w:t>
            </w:r>
          </w:p>
        </w:tc>
        <w:tc>
          <w:tcPr>
            <w:tcW w:type="dxa" w:w="2000"/>
            <w:tcMar>
              <w:top w:type="dxa" w:w="80"/>
              <w:left w:type="dxa" w:w="110"/>
              <w:bottom w:type="dxa" w:w="80"/>
              <w:right w:type="dxa" w:w="110"/>
            </w:tcMar>
          </w:tcPr>
          <w:p>
            <w:r>
              <w:rPr>
                <w:b w:val="false"/>
                <w:bCs w:val="false"/>
                <w:sz w:val="20"/>
                <w:szCs w:val="20"/>
              </w:rPr>
              <w:t xml:space="preserve">US company; UK/EU processing</w:t>
            </w:r>
          </w:p>
        </w:tc>
        <w:tc>
          <w:tcPr>
            <w:tcW w:type="dxa" w:w="2060"/>
            <w:tcMar>
              <w:top w:type="dxa" w:w="80"/>
              <w:left w:type="dxa" w:w="110"/>
              <w:bottom w:type="dxa" w:w="80"/>
              <w:right w:type="dxa" w:w="110"/>
            </w:tcMar>
          </w:tcPr>
          <w:p>
            <w:r>
              <w:rPr>
                <w:b w:val="false"/>
                <w:bCs w:val="false"/>
                <w:sz w:val="20"/>
                <w:szCs w:val="20"/>
              </w:rPr>
              <w:t xml:space="preserve">DPA incorporated in Stripe's standard terms</w:t>
            </w:r>
          </w:p>
        </w:tc>
      </w:tr>
      <w:tr>
        <w:trPr>
          <w:tblHeader w:val="false"/>
        </w:trPr>
        <w:tc>
          <w:tcPr>
            <w:tcW w:type="dxa" w:w="2200"/>
            <w:tcMar>
              <w:top w:type="dxa" w:w="80"/>
              <w:left w:type="dxa" w:w="110"/>
              <w:bottom w:type="dxa" w:w="80"/>
              <w:right w:type="dxa" w:w="110"/>
            </w:tcMar>
          </w:tcPr>
          <w:p>
            <w:r>
              <w:rPr>
                <w:b w:val="false"/>
                <w:bCs w:val="false"/>
                <w:sz w:val="20"/>
                <w:szCs w:val="20"/>
              </w:rPr>
              <w:t xml:space="preserve">Sentry</w:t>
            </w:r>
          </w:p>
        </w:tc>
        <w:tc>
          <w:tcPr>
            <w:tcW w:type="dxa" w:w="3100"/>
            <w:tcMar>
              <w:top w:type="dxa" w:w="80"/>
              <w:left w:type="dxa" w:w="110"/>
              <w:bottom w:type="dxa" w:w="80"/>
              <w:right w:type="dxa" w:w="110"/>
            </w:tcMar>
          </w:tcPr>
          <w:p>
            <w:r>
              <w:rPr>
                <w:b w:val="false"/>
                <w:bCs w:val="false"/>
                <w:sz w:val="20"/>
                <w:szCs w:val="20"/>
              </w:rPr>
              <w:t xml:space="preserve">Error monitoring, health terms scrubbed</w:t>
            </w:r>
          </w:p>
        </w:tc>
        <w:tc>
          <w:tcPr>
            <w:tcW w:type="dxa" w:w="2000"/>
            <w:tcMar>
              <w:top w:type="dxa" w:w="80"/>
              <w:left w:type="dxa" w:w="110"/>
              <w:bottom w:type="dxa" w:w="80"/>
              <w:right w:type="dxa" w:w="110"/>
            </w:tcMar>
          </w:tcPr>
          <w:p>
            <w:r>
              <w:rPr>
                <w:b w:val="false"/>
                <w:bCs w:val="false"/>
                <w:sz w:val="20"/>
                <w:szCs w:val="20"/>
              </w:rPr>
              <w:t xml:space="preserve">EU — Frankfurt</w:t>
            </w:r>
          </w:p>
        </w:tc>
        <w:tc>
          <w:tcPr>
            <w:tcW w:type="dxa" w:w="2060"/>
            <w:tcMar>
              <w:top w:type="dxa" w:w="80"/>
              <w:left w:type="dxa" w:w="110"/>
              <w:bottom w:type="dxa" w:w="80"/>
              <w:right w:type="dxa" w:w="110"/>
            </w:tcMar>
          </w:tcPr>
          <w:p>
            <w:pPr>
              <w:spacing w:after="0"/>
            </w:pPr>
            <w:r>
              <w:rPr>
                <w:b/>
                <w:bCs/>
                <w:sz w:val="22"/>
                <w:szCs w:val="22"/>
              </w:rPr>
              <w:t xml:space="preserve">TO CONFIRM.</w:t>
            </w:r>
          </w:p>
        </w:tc>
      </w:tr>
      <w:tr>
        <w:trPr>
          <w:tblHeader w:val="false"/>
        </w:trPr>
        <w:tc>
          <w:tcPr>
            <w:tcW w:type="dxa" w:w="2200"/>
            <w:tcMar>
              <w:top w:type="dxa" w:w="80"/>
              <w:left w:type="dxa" w:w="110"/>
              <w:bottom w:type="dxa" w:w="80"/>
              <w:right w:type="dxa" w:w="110"/>
            </w:tcMar>
          </w:tcPr>
          <w:p>
            <w:r>
              <w:rPr>
                <w:b w:val="false"/>
                <w:bCs w:val="false"/>
                <w:sz w:val="20"/>
                <w:szCs w:val="20"/>
              </w:rPr>
              <w:t xml:space="preserve">Plausible Analytics</w:t>
            </w:r>
          </w:p>
        </w:tc>
        <w:tc>
          <w:tcPr>
            <w:tcW w:type="dxa" w:w="3100"/>
            <w:tcMar>
              <w:top w:type="dxa" w:w="80"/>
              <w:left w:type="dxa" w:w="110"/>
              <w:bottom w:type="dxa" w:w="80"/>
              <w:right w:type="dxa" w:w="110"/>
            </w:tcMar>
          </w:tcPr>
          <w:p>
            <w:r>
              <w:rPr>
                <w:b w:val="false"/>
                <w:bCs w:val="false"/>
                <w:sz w:val="20"/>
                <w:szCs w:val="20"/>
              </w:rPr>
              <w:t xml:space="preserve">Aggregate usage statistics, no personal data</w:t>
            </w:r>
          </w:p>
        </w:tc>
        <w:tc>
          <w:tcPr>
            <w:tcW w:type="dxa" w:w="2000"/>
            <w:tcMar>
              <w:top w:type="dxa" w:w="80"/>
              <w:left w:type="dxa" w:w="110"/>
              <w:bottom w:type="dxa" w:w="80"/>
              <w:right w:type="dxa" w:w="110"/>
            </w:tcMar>
          </w:tcPr>
          <w:p>
            <w:r>
              <w:rPr>
                <w:b w:val="false"/>
                <w:bCs w:val="false"/>
                <w:sz w:val="20"/>
                <w:szCs w:val="20"/>
              </w:rPr>
              <w:t xml:space="preserve">EU-hosted</w:t>
            </w:r>
          </w:p>
        </w:tc>
        <w:tc>
          <w:tcPr>
            <w:tcW w:type="dxa" w:w="2060"/>
            <w:tcMar>
              <w:top w:type="dxa" w:w="80"/>
              <w:left w:type="dxa" w:w="110"/>
              <w:bottom w:type="dxa" w:w="80"/>
              <w:right w:type="dxa" w:w="110"/>
            </w:tcMar>
          </w:tcPr>
          <w:p>
            <w:r>
              <w:rPr>
                <w:b w:val="false"/>
                <w:bCs w:val="false"/>
                <w:sz w:val="20"/>
                <w:szCs w:val="20"/>
              </w:rPr>
              <w:t xml:space="preserve">No personal data processed</w:t>
            </w:r>
          </w:p>
        </w:tc>
      </w:tr>
      <w:tr>
        <w:trPr>
          <w:tblHeader w:val="false"/>
        </w:trPr>
        <w:tc>
          <w:tcPr>
            <w:tcW w:type="dxa" w:w="2200"/>
            <w:tcMar>
              <w:top w:type="dxa" w:w="80"/>
              <w:left w:type="dxa" w:w="110"/>
              <w:bottom w:type="dxa" w:w="80"/>
              <w:right w:type="dxa" w:w="110"/>
            </w:tcMar>
          </w:tcPr>
          <w:p>
            <w:r>
              <w:rPr>
                <w:b w:val="false"/>
                <w:bCs w:val="false"/>
                <w:sz w:val="20"/>
                <w:szCs w:val="20"/>
              </w:rPr>
              <w:t xml:space="preserve">Zoho Mail</w:t>
            </w:r>
          </w:p>
        </w:tc>
        <w:tc>
          <w:tcPr>
            <w:tcW w:type="dxa" w:w="3100"/>
            <w:tcMar>
              <w:top w:type="dxa" w:w="80"/>
              <w:left w:type="dxa" w:w="110"/>
              <w:bottom w:type="dxa" w:w="80"/>
              <w:right w:type="dxa" w:w="110"/>
            </w:tcMar>
          </w:tcPr>
          <w:p>
            <w:r>
              <w:rPr>
                <w:b w:val="false"/>
                <w:bCs w:val="false"/>
                <w:sz w:val="20"/>
                <w:szCs w:val="20"/>
              </w:rPr>
              <w:t xml:space="preserve">Business email and account correspondence</w:t>
            </w:r>
          </w:p>
        </w:tc>
        <w:tc>
          <w:tcPr>
            <w:tcW w:type="dxa" w:w="2000"/>
            <w:tcMar>
              <w:top w:type="dxa" w:w="80"/>
              <w:left w:type="dxa" w:w="110"/>
              <w:bottom w:type="dxa" w:w="80"/>
              <w:right w:type="dxa" w:w="110"/>
            </w:tcMar>
          </w:tcPr>
          <w:p>
            <w:r>
              <w:rPr>
                <w:b w:val="false"/>
                <w:bCs w:val="false"/>
                <w:sz w:val="20"/>
                <w:szCs w:val="20"/>
              </w:rPr>
              <w:t xml:space="preserve">EU-hosted</w:t>
            </w:r>
          </w:p>
        </w:tc>
        <w:tc>
          <w:tcPr>
            <w:tcW w:type="dxa" w:w="2060"/>
            <w:tcMar>
              <w:top w:type="dxa" w:w="80"/>
              <w:left w:type="dxa" w:w="110"/>
              <w:bottom w:type="dxa" w:w="80"/>
              <w:right w:type="dxa" w:w="110"/>
            </w:tcMar>
          </w:tcPr>
          <w:p>
            <w:pPr>
              <w:spacing w:after="0"/>
            </w:pPr>
            <w:r>
              <w:rPr>
                <w:b/>
                <w:bCs/>
                <w:sz w:val="22"/>
                <w:szCs w:val="22"/>
              </w:rPr>
              <w:t xml:space="preserve">TO CONFIRM.</w:t>
            </w:r>
          </w:p>
        </w:tc>
      </w:tr>
      <w:tr>
        <w:trPr>
          <w:tblHeader w:val="false"/>
        </w:trPr>
        <w:tc>
          <w:tcPr>
            <w:tcW w:type="dxa" w:w="2200"/>
            <w:tcMar>
              <w:top w:type="dxa" w:w="80"/>
              <w:left w:type="dxa" w:w="110"/>
              <w:bottom w:type="dxa" w:w="80"/>
              <w:right w:type="dxa" w:w="110"/>
            </w:tcMar>
          </w:tcPr>
          <w:p>
            <w:r>
              <w:rPr>
                <w:b w:val="false"/>
                <w:bCs w:val="false"/>
                <w:sz w:val="20"/>
                <w:szCs w:val="20"/>
              </w:rPr>
              <w:t xml:space="preserve">Kit (formerly ConvertKit)</w:t>
            </w:r>
          </w:p>
        </w:tc>
        <w:tc>
          <w:tcPr>
            <w:tcW w:type="dxa" w:w="3100"/>
            <w:tcMar>
              <w:top w:type="dxa" w:w="80"/>
              <w:left w:type="dxa" w:w="110"/>
              <w:bottom w:type="dxa" w:w="80"/>
              <w:right w:type="dxa" w:w="110"/>
            </w:tcMar>
          </w:tcPr>
          <w:p>
            <w:r>
              <w:rPr>
                <w:b w:val="false"/>
                <w:bCs w:val="false"/>
                <w:sz w:val="20"/>
                <w:szCs w:val="20"/>
              </w:rPr>
              <w:t xml:space="preserve">Mailing list, marketing email only — see Section 13. Never health or check-in data.</w:t>
            </w:r>
          </w:p>
        </w:tc>
        <w:tc>
          <w:tcPr>
            <w:tcW w:type="dxa" w:w="2000"/>
            <w:tcMar>
              <w:top w:type="dxa" w:w="80"/>
              <w:left w:type="dxa" w:w="110"/>
              <w:bottom w:type="dxa" w:w="80"/>
              <w:right w:type="dxa" w:w="110"/>
            </w:tcMar>
          </w:tcPr>
          <w:p>
            <w:r>
              <w:rPr>
                <w:b w:val="false"/>
                <w:bCs w:val="false"/>
                <w:sz w:val="20"/>
                <w:szCs w:val="20"/>
              </w:rPr>
              <w:t xml:space="preserve">US company</w:t>
            </w:r>
          </w:p>
        </w:tc>
        <w:tc>
          <w:tcPr>
            <w:tcW w:type="dxa" w:w="2060"/>
            <w:tcMar>
              <w:top w:type="dxa" w:w="80"/>
              <w:left w:type="dxa" w:w="110"/>
              <w:bottom w:type="dxa" w:w="80"/>
              <w:right w:type="dxa" w:w="110"/>
            </w:tcMar>
          </w:tcPr>
          <w:p>
            <w:pPr>
              <w:spacing w:after="0"/>
            </w:pPr>
            <w:r>
              <w:rPr>
                <w:b/>
                <w:bCs/>
                <w:sz w:val="22"/>
                <w:szCs w:val="22"/>
              </w:rPr>
              <w:t xml:space="preserve">TO CONFIRM.</w:t>
            </w:r>
          </w:p>
        </w:tc>
      </w:tr>
    </w:tbl>
    <w:p>
      <w:pPr>
        <w:spacing w:after="60"/>
      </w:pPr>
      <w:r>
        <w:rPr>
          <w:sz w:val="22"/>
          <w:szCs w:val="22"/>
        </w:rPr>
        <w:t xml:space="preserve"/>
      </w:r>
    </w:p>
    <w:p>
      <w:pPr>
        <w:spacing w:after="140"/>
      </w:pPr>
      <w:r>
        <w:rPr>
          <w:sz w:val="22"/>
          <w:szCs w:val="22"/>
        </w:rPr>
        <w:t xml:space="preserve">We may also disclose data where we are legally required to, or where it is necessary to protect someone's life. Any such disclosure is recorded.</w:t>
      </w:r>
    </w:p>
    <w:p>
      <w:pPr>
        <w:pStyle w:val="Heading1"/>
        <w:spacing w:after="160" w:before="360"/>
      </w:pPr>
      <w:r>
        <w:rPr>
          <w:b/>
          <w:bCs/>
          <w:color w:val="1F4E5F"/>
          <w:sz w:val="32"/>
          <w:szCs w:val="32"/>
        </w:rPr>
        <w:t xml:space="preserve">9. How long we keep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4EAEE" w:val="clear"/>
            <w:tcMar>
              <w:top w:type="dxa" w:w="80"/>
              <w:left w:type="dxa" w:w="110"/>
              <w:bottom w:type="dxa" w:w="80"/>
              <w:right w:type="dxa" w:w="110"/>
            </w:tcMar>
          </w:tcPr>
          <w:p>
            <w:r>
              <w:rPr>
                <w:b/>
                <w:bCs/>
                <w:sz w:val="20"/>
                <w:szCs w:val="20"/>
              </w:rPr>
              <w:t xml:space="preserve">What</w:t>
            </w:r>
          </w:p>
        </w:tc>
        <w:tc>
          <w:tcPr>
            <w:tcW w:type="dxa" w:w="5960"/>
            <w:shd w:fill="E4EAEE" w:val="clear"/>
            <w:tcMar>
              <w:top w:type="dxa" w:w="80"/>
              <w:left w:type="dxa" w:w="110"/>
              <w:bottom w:type="dxa" w:w="80"/>
              <w:right w:type="dxa" w:w="110"/>
            </w:tcMar>
          </w:tcPr>
          <w:p>
            <w:r>
              <w:rPr>
                <w:b/>
                <w:bCs/>
                <w:sz w:val="20"/>
                <w:szCs w:val="20"/>
              </w:rPr>
              <w:t xml:space="preserve">How long</w:t>
            </w:r>
          </w:p>
        </w:tc>
      </w:tr>
      <w:tr>
        <w:trPr>
          <w:tblHeader w:val="false"/>
        </w:trPr>
        <w:tc>
          <w:tcPr>
            <w:tcW w:type="dxa" w:w="3400"/>
            <w:tcMar>
              <w:top w:type="dxa" w:w="80"/>
              <w:left w:type="dxa" w:w="110"/>
              <w:bottom w:type="dxa" w:w="80"/>
              <w:right w:type="dxa" w:w="110"/>
            </w:tcMar>
          </w:tcPr>
          <w:p>
            <w:r>
              <w:rPr>
                <w:b w:val="false"/>
                <w:bCs w:val="false"/>
                <w:sz w:val="20"/>
                <w:szCs w:val="20"/>
              </w:rPr>
              <w:t xml:space="preserve">Account and coaching data</w:t>
            </w:r>
          </w:p>
        </w:tc>
        <w:tc>
          <w:tcPr>
            <w:tcW w:type="dxa" w:w="5960"/>
            <w:tcMar>
              <w:top w:type="dxa" w:w="80"/>
              <w:left w:type="dxa" w:w="110"/>
              <w:bottom w:type="dxa" w:w="80"/>
              <w:right w:type="dxa" w:w="110"/>
            </w:tcMar>
          </w:tcPr>
          <w:p>
            <w:r>
              <w:rPr>
                <w:b w:val="false"/>
                <w:bCs w:val="false"/>
                <w:sz w:val="20"/>
                <w:szCs w:val="20"/>
              </w:rPr>
              <w:t xml:space="preserve">For as long as your account is active</w:t>
            </w:r>
          </w:p>
        </w:tc>
      </w:tr>
      <w:tr>
        <w:trPr>
          <w:tblHeader w:val="false"/>
        </w:trPr>
        <w:tc>
          <w:tcPr>
            <w:tcW w:type="dxa" w:w="3400"/>
            <w:tcMar>
              <w:top w:type="dxa" w:w="80"/>
              <w:left w:type="dxa" w:w="110"/>
              <w:bottom w:type="dxa" w:w="80"/>
              <w:right w:type="dxa" w:w="110"/>
            </w:tcMar>
          </w:tcPr>
          <w:p>
            <w:r>
              <w:rPr>
                <w:b w:val="false"/>
                <w:bCs w:val="false"/>
                <w:sz w:val="20"/>
                <w:szCs w:val="20"/>
              </w:rPr>
              <w:t xml:space="preserve">Dormant accounts</w:t>
            </w:r>
          </w:p>
        </w:tc>
        <w:tc>
          <w:tcPr>
            <w:tcW w:type="dxa" w:w="5960"/>
            <w:tcMar>
              <w:top w:type="dxa" w:w="80"/>
              <w:left w:type="dxa" w:w="110"/>
              <w:bottom w:type="dxa" w:w="80"/>
              <w:right w:type="dxa" w:w="110"/>
            </w:tcMar>
          </w:tcPr>
          <w:p>
            <w:pPr>
              <w:spacing w:after="0"/>
            </w:pPr>
            <w:r>
              <w:rPr>
                <w:b w:val="false"/>
                <w:bCs w:val="false"/>
                <w:sz w:val="22"/>
                <w:szCs w:val="22"/>
              </w:rPr>
              <w:t xml:space="preserve">If you have not signed in for 24 months we email you. If you do not sign in within 30 days of that email, the account and its data are deleted. TO CONFIRM: the 24-month period is our proposal, not a legal requirement.</w:t>
            </w:r>
          </w:p>
        </w:tc>
      </w:tr>
      <w:tr>
        <w:trPr>
          <w:tblHeader w:val="false"/>
        </w:trPr>
        <w:tc>
          <w:tcPr>
            <w:tcW w:type="dxa" w:w="3400"/>
            <w:tcMar>
              <w:top w:type="dxa" w:w="80"/>
              <w:left w:type="dxa" w:w="110"/>
              <w:bottom w:type="dxa" w:w="80"/>
              <w:right w:type="dxa" w:w="110"/>
            </w:tcMar>
          </w:tcPr>
          <w:p>
            <w:r>
              <w:rPr>
                <w:b w:val="false"/>
                <w:bCs w:val="false"/>
                <w:sz w:val="20"/>
                <w:szCs w:val="20"/>
              </w:rPr>
              <w:t xml:space="preserve">Deleted accounts</w:t>
            </w:r>
          </w:p>
        </w:tc>
        <w:tc>
          <w:tcPr>
            <w:tcW w:type="dxa" w:w="5960"/>
            <w:tcMar>
              <w:top w:type="dxa" w:w="80"/>
              <w:left w:type="dxa" w:w="110"/>
              <w:bottom w:type="dxa" w:w="80"/>
              <w:right w:type="dxa" w:w="110"/>
            </w:tcMar>
          </w:tcPr>
          <w:p>
            <w:r>
              <w:rPr>
                <w:b w:val="false"/>
                <w:bCs w:val="false"/>
                <w:sz w:val="20"/>
                <w:szCs w:val="20"/>
              </w:rPr>
              <w:t xml:space="preserve">Removed from live systems immediately; purged from backups within 30 days</w:t>
            </w:r>
          </w:p>
        </w:tc>
      </w:tr>
      <w:tr>
        <w:trPr>
          <w:tblHeader w:val="false"/>
        </w:trPr>
        <w:tc>
          <w:tcPr>
            <w:tcW w:type="dxa" w:w="3400"/>
            <w:tcMar>
              <w:top w:type="dxa" w:w="80"/>
              <w:left w:type="dxa" w:w="110"/>
              <w:bottom w:type="dxa" w:w="80"/>
              <w:right w:type="dxa" w:w="110"/>
            </w:tcMar>
          </w:tcPr>
          <w:p>
            <w:r>
              <w:rPr>
                <w:b w:val="false"/>
                <w:bCs w:val="false"/>
                <w:sz w:val="20"/>
                <w:szCs w:val="20"/>
              </w:rPr>
              <w:t xml:space="preserve">Journal entries</w:t>
            </w:r>
          </w:p>
        </w:tc>
        <w:tc>
          <w:tcPr>
            <w:tcW w:type="dxa" w:w="5960"/>
            <w:tcMar>
              <w:top w:type="dxa" w:w="80"/>
              <w:left w:type="dxa" w:w="110"/>
              <w:bottom w:type="dxa" w:w="80"/>
              <w:right w:type="dxa" w:w="110"/>
            </w:tcMar>
          </w:tcPr>
          <w:p>
            <w:r>
              <w:rPr>
                <w:b w:val="false"/>
                <w:bCs w:val="false"/>
                <w:sz w:val="20"/>
                <w:szCs w:val="20"/>
              </w:rPr>
              <w:t xml:space="preserve">Deleted with your account, or individually by you at any time</w:t>
            </w:r>
          </w:p>
        </w:tc>
      </w:tr>
      <w:tr>
        <w:trPr>
          <w:tblHeader w:val="false"/>
        </w:trPr>
        <w:tc>
          <w:tcPr>
            <w:tcW w:type="dxa" w:w="3400"/>
            <w:tcMar>
              <w:top w:type="dxa" w:w="80"/>
              <w:left w:type="dxa" w:w="110"/>
              <w:bottom w:type="dxa" w:w="80"/>
              <w:right w:type="dxa" w:w="110"/>
            </w:tcMar>
          </w:tcPr>
          <w:p>
            <w:r>
              <w:rPr>
                <w:b w:val="false"/>
                <w:bCs w:val="false"/>
                <w:sz w:val="20"/>
                <w:szCs w:val="20"/>
              </w:rPr>
              <w:t xml:space="preserve">Marketing contact details</w:t>
            </w:r>
          </w:p>
        </w:tc>
        <w:tc>
          <w:tcPr>
            <w:tcW w:type="dxa" w:w="5960"/>
            <w:tcMar>
              <w:top w:type="dxa" w:w="80"/>
              <w:left w:type="dxa" w:w="110"/>
              <w:bottom w:type="dxa" w:w="80"/>
              <w:right w:type="dxa" w:w="110"/>
            </w:tcMar>
          </w:tcPr>
          <w:p>
            <w:r>
              <w:rPr>
                <w:b w:val="false"/>
                <w:bCs w:val="false"/>
                <w:sz w:val="20"/>
                <w:szCs w:val="20"/>
              </w:rPr>
              <w:t xml:space="preserve">Until you unsubscribe. We then keep your email on a suppression list so we do not contact you again by mistake.</w:t>
            </w:r>
          </w:p>
        </w:tc>
      </w:tr>
      <w:tr>
        <w:trPr>
          <w:tblHeader w:val="false"/>
        </w:trPr>
        <w:tc>
          <w:tcPr>
            <w:tcW w:type="dxa" w:w="3400"/>
            <w:tcMar>
              <w:top w:type="dxa" w:w="80"/>
              <w:left w:type="dxa" w:w="110"/>
              <w:bottom w:type="dxa" w:w="80"/>
              <w:right w:type="dxa" w:w="110"/>
            </w:tcMar>
          </w:tcPr>
          <w:p>
            <w:r>
              <w:rPr>
                <w:b w:val="false"/>
                <w:bCs w:val="false"/>
                <w:sz w:val="20"/>
                <w:szCs w:val="20"/>
              </w:rPr>
              <w:t xml:space="preserve">Payment and accounting records</w:t>
            </w:r>
          </w:p>
        </w:tc>
        <w:tc>
          <w:tcPr>
            <w:tcW w:type="dxa" w:w="5960"/>
            <w:tcMar>
              <w:top w:type="dxa" w:w="80"/>
              <w:left w:type="dxa" w:w="110"/>
              <w:bottom w:type="dxa" w:w="80"/>
              <w:right w:type="dxa" w:w="110"/>
            </w:tcMar>
          </w:tcPr>
          <w:p>
            <w:r>
              <w:rPr>
                <w:b w:val="false"/>
                <w:bCs w:val="false"/>
                <w:sz w:val="20"/>
                <w:szCs w:val="20"/>
              </w:rPr>
              <w:t xml:space="preserve">Six years from the end of the relevant tax year, as HMRC requires</w:t>
            </w:r>
          </w:p>
        </w:tc>
      </w:tr>
    </w:tbl>
    <w:p>
      <w:pPr>
        <w:spacing w:after="60"/>
      </w:pPr>
      <w:r>
        <w:rPr>
          <w:sz w:val="22"/>
          <w:szCs w:val="22"/>
        </w:rPr>
        <w:t xml:space="preserve"/>
      </w:r>
    </w:p>
    <w:p>
      <w:pPr>
        <w:spacing w:after="140"/>
      </w:pPr>
      <w:r>
        <w:rPr>
          <w:sz w:val="22"/>
          <w:szCs w:val="22"/>
        </w:rPr>
        <w:t xml:space="preserve">You may ask us to delete specific categories of data — your check-in history, for example — without closing your account.</w:t>
      </w:r>
    </w:p>
    <w:p>
      <w:pPr>
        <w:pStyle w:val="Heading1"/>
        <w:spacing w:after="160" w:before="360"/>
      </w:pPr>
      <w:r>
        <w:rPr>
          <w:b/>
          <w:bCs/>
          <w:color w:val="1F4E5F"/>
          <w:sz w:val="32"/>
          <w:szCs w:val="32"/>
        </w:rPr>
        <w:t xml:space="preserve">10. Your rights</w:t>
      </w:r>
    </w:p>
    <w:p>
      <w:pPr>
        <w:spacing w:after="140"/>
      </w:pPr>
      <w:r>
        <w:rPr>
          <w:sz w:val="22"/>
          <w:szCs w:val="22"/>
        </w:rPr>
        <w:t xml:space="preserve">You have the following rights over the data we hold about you.</w:t>
      </w:r>
    </w:p>
    <w:p>
      <w:pPr>
        <w:pStyle w:val="ListParagraph"/>
        <w:numPr>
          <w:ilvl w:val="0"/>
          <w:numId w:val="2"/>
        </w:numPr>
        <w:spacing w:after="80"/>
      </w:pPr>
      <w:r>
        <w:rPr>
          <w:sz w:val="22"/>
          <w:szCs w:val="22"/>
        </w:rPr>
        <w:t xml:space="preserve">Right of access — a copy of the data we hold about you.</w:t>
      </w:r>
    </w:p>
    <w:p>
      <w:pPr>
        <w:pStyle w:val="ListParagraph"/>
        <w:numPr>
          <w:ilvl w:val="0"/>
          <w:numId w:val="2"/>
        </w:numPr>
        <w:spacing w:after="80"/>
      </w:pPr>
      <w:r>
        <w:rPr>
          <w:sz w:val="22"/>
          <w:szCs w:val="22"/>
        </w:rPr>
        <w:t xml:space="preserve">Right to rectification — correction of anything inaccurate.</w:t>
      </w:r>
    </w:p>
    <w:p>
      <w:pPr>
        <w:pStyle w:val="ListParagraph"/>
        <w:numPr>
          <w:ilvl w:val="0"/>
          <w:numId w:val="2"/>
        </w:numPr>
        <w:spacing w:after="80"/>
      </w:pPr>
      <w:r>
        <w:rPr>
          <w:sz w:val="22"/>
          <w:szCs w:val="22"/>
        </w:rPr>
        <w:t xml:space="preserve">Right to erasure — deletion of your data, available directly from Settings in the app.</w:t>
      </w:r>
    </w:p>
    <w:p>
      <w:pPr>
        <w:pStyle w:val="ListParagraph"/>
        <w:numPr>
          <w:ilvl w:val="0"/>
          <w:numId w:val="2"/>
        </w:numPr>
        <w:spacing w:after="80"/>
      </w:pPr>
      <w:r>
        <w:rPr>
          <w:sz w:val="22"/>
          <w:szCs w:val="22"/>
        </w:rPr>
        <w:t xml:space="preserve">Right to restrict processing — to have us pause our use of your data while a dispute or correction is resolved.</w:t>
      </w:r>
    </w:p>
    <w:p>
      <w:pPr>
        <w:pStyle w:val="ListParagraph"/>
        <w:numPr>
          <w:ilvl w:val="0"/>
          <w:numId w:val="2"/>
        </w:numPr>
        <w:spacing w:after="80"/>
      </w:pPr>
      <w:r>
        <w:rPr>
          <w:sz w:val="22"/>
          <w:szCs w:val="22"/>
        </w:rPr>
        <w:t xml:space="preserve">Right to data portability — your data in a portable, machine-readable format.</w:t>
      </w:r>
    </w:p>
    <w:p>
      <w:pPr>
        <w:pStyle w:val="ListParagraph"/>
        <w:numPr>
          <w:ilvl w:val="0"/>
          <w:numId w:val="2"/>
        </w:numPr>
        <w:spacing w:after="80"/>
      </w:pPr>
      <w:r>
        <w:rPr>
          <w:sz w:val="22"/>
          <w:szCs w:val="22"/>
        </w:rPr>
        <w:t xml:space="preserve">Right to withdraw consent — at any time, for health data or marketing, without affecting anything done before you withdrew it.</w:t>
      </w:r>
    </w:p>
    <w:p>
      <w:pPr>
        <w:pStyle w:val="Heading3"/>
        <w:spacing w:after="100" w:before="220"/>
      </w:pPr>
      <w:r>
        <w:rPr>
          <w:b/>
          <w:bCs/>
          <w:sz w:val="23"/>
          <w:szCs w:val="23"/>
        </w:rPr>
        <w:t xml:space="preserve">Your right to object</w:t>
      </w:r>
    </w:p>
    <w:p>
      <w:pPr>
        <w:spacing w:after="140"/>
      </w:pPr>
      <w:r>
        <w:rPr>
          <w:sz w:val="22"/>
          <w:szCs w:val="22"/>
        </w:rPr>
        <w:t xml:space="preserve">Separately from the rights above: you have the right to object to our processing of your data where we rely on legitimate interests. That means our error monitoring, our aggregate usage statistics, and our age check. If you object, we must stop unless we can show compelling legitimate grounds that override your rights. Tell us at hello@buildnewhabits.co.uk.</w:t>
      </w:r>
    </w:p>
    <w:p>
      <w:pPr>
        <w:pStyle w:val="Heading3"/>
        <w:spacing w:after="100" w:before="220"/>
      </w:pPr>
      <w:r>
        <w:rPr>
          <w:b/>
          <w:bCs/>
          <w:sz w:val="23"/>
          <w:szCs w:val="23"/>
        </w:rPr>
        <w:t xml:space="preserve">How to use these rights</w:t>
      </w:r>
    </w:p>
    <w:p>
      <w:pPr>
        <w:spacing w:after="140"/>
      </w:pPr>
      <w:r>
        <w:rPr>
          <w:sz w:val="22"/>
          <w:szCs w:val="22"/>
        </w:rPr>
        <w:t xml:space="preserve">Email hello@buildnewhabits.co.uk. We will respond without undue delay and in any event within one calendar month of receiving your request. If your request is complex, or you make several, we may extend that by up to two further months — but we will tell you within the first month if we are going to, and explain why.</w:t>
      </w:r>
    </w:p>
    <w:p>
      <w:pPr>
        <w:spacing w:after="140"/>
      </w:pPr>
      <w:r>
        <w:rPr>
          <w:sz w:val="22"/>
          <w:szCs w:val="22"/>
        </w:rPr>
        <w:t xml:space="preserve">We will not charge you for this.</w:t>
      </w:r>
    </w:p>
    <w:p>
      <w:pPr>
        <w:pStyle w:val="Heading1"/>
        <w:spacing w:after="160" w:before="360"/>
      </w:pPr>
      <w:r>
        <w:rPr>
          <w:b/>
          <w:bCs/>
          <w:color w:val="1F4E5F"/>
          <w:sz w:val="32"/>
          <w:szCs w:val="32"/>
        </w:rPr>
        <w:t xml:space="preserve">11. If a data breach happens</w:t>
      </w:r>
    </w:p>
    <w:p>
      <w:pPr>
        <w:spacing w:after="140"/>
      </w:pPr>
      <w:r>
        <w:rPr>
          <w:sz w:val="22"/>
          <w:szCs w:val="22"/>
        </w:rPr>
        <w:t xml:space="preserve">If a personal data breach occurs and is likely to result in a risk to your rights and freedoms, we will report it to the Information Commissioner's Office without undue delay, and where feasible within 72 hours of becoming aware of it. If the breach is likely to result in a high risk to you, we will tell you directly, without undue delay, and explain what you can do about it.</w:t>
      </w:r>
    </w:p>
    <w:p>
      <w:pPr>
        <w:spacing w:after="140"/>
      </w:pPr>
      <w:r>
        <w:rPr>
          <w:sz w:val="22"/>
          <w:szCs w:val="22"/>
        </w:rPr>
        <w:t xml:space="preserve">We keep a record of every personal data breach, including those we decide are not reportable, and why we decided that.</w:t>
      </w:r>
    </w:p>
    <w:p>
      <w:pPr>
        <w:spacing w:after="140"/>
      </w:pPr>
      <w:r>
        <w:rPr>
          <w:sz w:val="22"/>
          <w:szCs w:val="22"/>
        </w:rPr>
        <w:t xml:space="preserve">Alongside uses magic-link sign-in rather than passwords, so there is no password database to expose. That removes one category of risk. It does not remove all of them, and we do not treat it as a substitute for the rest of our security work.</w:t>
      </w:r>
    </w:p>
    <w:p>
      <w:pPr>
        <w:spacing w:after="140"/>
      </w:pPr>
      <w:r>
        <w:rPr>
          <w:b/>
          <w:bCs/>
          <w:sz w:val="22"/>
          <w:szCs w:val="22"/>
        </w:rPr>
        <w:t xml:space="preserve">TO CONFIRM: </w:t>
      </w:r>
      <w:r>
        <w:rPr>
          <w:b/>
          <w:bCs/>
          <w:sz w:val="22"/>
          <w:szCs w:val="22"/>
        </w:rPr>
        <w:t xml:space="preserve">our formal incident response procedure and breach log are still being set up. This section describes our intended approach, and we would welcome confirmation that it is adequate for our stage.</w:t>
      </w:r>
    </w:p>
    <w:p>
      <w:pPr>
        <w:pStyle w:val="Heading1"/>
        <w:spacing w:after="160" w:before="360"/>
      </w:pPr>
      <w:r>
        <w:rPr>
          <w:b/>
          <w:bCs/>
          <w:color w:val="1F4E5F"/>
          <w:sz w:val="32"/>
          <w:szCs w:val="32"/>
        </w:rPr>
        <w:t xml:space="preserve">12. Age requirement</w:t>
      </w:r>
    </w:p>
    <w:p>
      <w:pPr>
        <w:spacing w:after="140"/>
      </w:pPr>
      <w:r>
        <w:rPr>
          <w:sz w:val="22"/>
          <w:szCs w:val="22"/>
        </w:rPr>
        <w:t xml:space="preserve">Alongside: Move is for adults aged 18 and over.</w:t>
      </w:r>
    </w:p>
    <w:p>
      <w:pPr>
        <w:spacing w:after="140"/>
      </w:pPr>
      <w:r>
        <w:rPr>
          <w:b/>
          <w:bCs/>
          <w:sz w:val="22"/>
          <w:szCs w:val="22"/>
        </w:rPr>
        <w:t xml:space="preserve">TO CONFIRM — this describes a control that is not yet live. </w:t>
      </w:r>
      <w:r>
        <w:rPr>
          <w:sz w:val="22"/>
          <w:szCs w:val="22"/>
        </w:rPr>
        <w:t xml:space="preserve">An age check is built into onboarding but is currently switched off, pending agreement on the rule behind it. It will be enabled before beta opens. This section will state what the app actually does on the day this policy is published, and not before.</w:t>
      </w:r>
    </w:p>
    <w:p>
      <w:pPr>
        <w:spacing w:after="140"/>
      </w:pPr>
      <w:r>
        <w:rPr>
          <w:sz w:val="22"/>
          <w:szCs w:val="22"/>
        </w:rPr>
        <w:t xml:space="preserve">If we become aware that an account belongs to someone under 18, our first priority is their safety, not immediate deletion. The age-appropriate crisis-response pathway described in our Crisis and Safeguarding Policy remains available regardless of account status, so that closing an account never interrupts support for someone who may need it. Once it is safe to do so, we will review the account and, where appropriate, close it and delete the associated data, following that policy's procedure.</w:t>
      </w:r>
    </w:p>
    <w:p>
      <w:pPr>
        <w:spacing w:after="140"/>
      </w:pPr>
      <w:r>
        <w:rPr>
          <w:b/>
          <w:bCs/>
          <w:sz w:val="22"/>
          <w:szCs w:val="22"/>
        </w:rPr>
        <w:t xml:space="preserve">TO CONFIRM — two open questions here, both flagged for legal and safeguarding review. </w:t>
      </w:r>
      <w:r>
        <w:rPr>
          <w:sz w:val="22"/>
          <w:szCs w:val="22"/>
        </w:rPr>
        <w:t xml:space="preserve">First, how to balance ordinary data-minimisation practice against a safeguarding duty of care. Second, whether a stated 18+ minimum together with a self-declared date of birth is enough to take Alongside outside the scope of the ICO's Age Appropriate Design Code and the Online Safety Act's duties toward services children might access. We are aware the ICO's published position is that self-declaration alone is unlikely to be treated as effective age assurance.</w:t>
      </w:r>
    </w:p>
    <w:p>
      <w:pPr>
        <w:pStyle w:val="Heading1"/>
        <w:spacing w:after="160" w:before="360"/>
      </w:pPr>
      <w:r>
        <w:rPr>
          <w:b/>
          <w:bCs/>
          <w:color w:val="1F4E5F"/>
          <w:sz w:val="32"/>
          <w:szCs w:val="32"/>
        </w:rPr>
        <w:t xml:space="preserve">13. Marketing emails</w:t>
      </w:r>
    </w:p>
    <w:p>
      <w:pPr>
        <w:spacing w:after="140"/>
      </w:pPr>
      <w:r>
        <w:rPr>
          <w:sz w:val="22"/>
          <w:szCs w:val="22"/>
        </w:rPr>
        <w:t xml:space="preserve">If you sign up to our mailing list, or tick the marketing option when creating an account, we may send you occasional emails about new features, beta updates, and content we think you will find useful. These are sent via Kit.</w:t>
      </w:r>
    </w:p>
    <w:p>
      <w:pPr>
        <w:spacing w:after="140"/>
      </w:pPr>
      <w:r>
        <w:rPr>
          <w:sz w:val="22"/>
          <w:szCs w:val="22"/>
        </w:rPr>
        <w:t xml:space="preserve">The marketing checkbox is unticked by default and is never a condition of using the app. You can use Alongside fully without ever opting in.</w:t>
      </w:r>
    </w:p>
    <w:p>
      <w:pPr>
        <w:spacing w:after="140"/>
      </w:pPr>
      <w:r>
        <w:rPr>
          <w:sz w:val="22"/>
          <w:szCs w:val="22"/>
        </w:rPr>
        <w:t xml:space="preserve">You can unsubscribe from any marketing email using the link in it, or by emailing hello@buildnewhabits.co.uk. Unsubscribing does not affect transactional emails — your magic sign-in link, payment receipts, essential service notices — which we send because we have to in order to run your account, not because you consented to marketing.</w:t>
      </w:r>
    </w:p>
    <w:p>
      <w:pPr>
        <w:spacing w:after="140"/>
      </w:pPr>
      <w:r>
        <w:rPr>
          <w:sz w:val="22"/>
          <w:szCs w:val="22"/>
        </w:rPr>
        <w:t xml:space="preserve">We do not use your check-in, mood, or journal data to personalise marketing content. The journal privacy rule applies here as everywhere else.</w:t>
      </w:r>
    </w:p>
    <w:p>
      <w:pPr>
        <w:spacing w:after="140"/>
      </w:pPr>
      <w:r>
        <w:rPr>
          <w:b/>
          <w:bCs/>
          <w:sz w:val="22"/>
          <w:szCs w:val="22"/>
        </w:rPr>
        <w:t xml:space="preserve">TO CONFIRM: </w:t>
      </w:r>
      <w:r>
        <w:rPr>
          <w:b/>
          <w:bCs/>
          <w:sz w:val="22"/>
          <w:szCs w:val="22"/>
        </w:rPr>
        <w:t xml:space="preserve">PECR includes a soft opt-in allowing marketing to existing customers about similar products. The ICO's guidance treats signing up to a free trial as negotiations for a sale. Our free tier is permanent rather than a trial, so we are not confident it qualifies, and our default is explicit opt-in either way. We would welcome a view.</w:t>
      </w:r>
    </w:p>
    <w:p>
      <w:pPr>
        <w:pStyle w:val="Heading1"/>
        <w:spacing w:after="160" w:before="360"/>
      </w:pPr>
      <w:r>
        <w:rPr>
          <w:b/>
          <w:bCs/>
          <w:color w:val="1F4E5F"/>
          <w:sz w:val="32"/>
          <w:szCs w:val="32"/>
        </w:rPr>
        <w:t xml:space="preserve">14. Changes to this policy</w:t>
      </w:r>
    </w:p>
    <w:p>
      <w:pPr>
        <w:spacing w:after="140"/>
      </w:pPr>
      <w:r>
        <w:rPr>
          <w:sz w:val="22"/>
          <w:szCs w:val="22"/>
        </w:rPr>
        <w:t xml:space="preserve">If we make significant changes to how we process your data, we will notify you by email or in-app notice at least 14 days before the change takes effect. Minor corrections are made with the date at the top updated.</w:t>
      </w:r>
    </w:p>
    <w:p>
      <w:pPr>
        <w:pStyle w:val="Heading1"/>
        <w:spacing w:after="160" w:before="360"/>
      </w:pPr>
      <w:r>
        <w:rPr>
          <w:b/>
          <w:bCs/>
          <w:color w:val="1F4E5F"/>
          <w:sz w:val="32"/>
          <w:szCs w:val="32"/>
        </w:rPr>
        <w:t xml:space="preserve">15. How to complain</w:t>
      </w:r>
    </w:p>
    <w:p>
      <w:pPr>
        <w:spacing w:after="140"/>
      </w:pPr>
      <w:r>
        <w:rPr>
          <w:sz w:val="22"/>
          <w:szCs w:val="22"/>
        </w:rPr>
        <w:t xml:space="preserve">If you are unhappy with how we have handled your data, you have the right to complain to us directly, and we have to deal with it properly.</w:t>
      </w:r>
    </w:p>
    <w:p>
      <w:pPr>
        <w:spacing w:after="140"/>
      </w:pPr>
      <w:r>
        <w:rPr>
          <w:sz w:val="22"/>
          <w:szCs w:val="22"/>
        </w:rPr>
        <w:t xml:space="preserve">You can complain by emailing hello@buildnewhabits.co.uk, by using the complaint form on our website, or by post. You do not have to use any particular wording or format — if the substance of what you tell us is about your personal data, we will treat it as a data protection complaint.</w:t>
      </w:r>
    </w:p>
    <w:p>
      <w:pPr>
        <w:spacing w:after="140"/>
      </w:pPr>
      <w:r>
        <w:rPr>
          <w:sz w:val="22"/>
          <w:szCs w:val="22"/>
        </w:rPr>
        <w:t xml:space="preserve">What we will do:</w:t>
      </w:r>
    </w:p>
    <w:p>
      <w:pPr>
        <w:pStyle w:val="ListParagraph"/>
        <w:numPr>
          <w:ilvl w:val="0"/>
          <w:numId w:val="2"/>
        </w:numPr>
        <w:spacing w:after="80"/>
      </w:pPr>
      <w:r>
        <w:rPr>
          <w:sz w:val="22"/>
          <w:szCs w:val="22"/>
        </w:rPr>
        <w:t xml:space="preserve">Acknowledge your complaint within 30 days of receiving it.</w:t>
      </w:r>
    </w:p>
    <w:p>
      <w:pPr>
        <w:pStyle w:val="ListParagraph"/>
        <w:numPr>
          <w:ilvl w:val="0"/>
          <w:numId w:val="2"/>
        </w:numPr>
        <w:spacing w:after="80"/>
      </w:pPr>
      <w:r>
        <w:rPr>
          <w:sz w:val="22"/>
          <w:szCs w:val="22"/>
        </w:rPr>
        <w:t xml:space="preserve">Investigate it without undue delay, and make proper enquiries.</w:t>
      </w:r>
    </w:p>
    <w:p>
      <w:pPr>
        <w:pStyle w:val="ListParagraph"/>
        <w:numPr>
          <w:ilvl w:val="0"/>
          <w:numId w:val="2"/>
        </w:numPr>
        <w:spacing w:after="80"/>
      </w:pPr>
      <w:r>
        <w:rPr>
          <w:sz w:val="22"/>
          <w:szCs w:val="22"/>
        </w:rPr>
        <w:t xml:space="preserve">Keep you updated on progress if it is taking a while.</w:t>
      </w:r>
    </w:p>
    <w:p>
      <w:pPr>
        <w:pStyle w:val="ListParagraph"/>
        <w:numPr>
          <w:ilvl w:val="0"/>
          <w:numId w:val="2"/>
        </w:numPr>
        <w:spacing w:after="80"/>
      </w:pPr>
      <w:r>
        <w:rPr>
          <w:sz w:val="22"/>
          <w:szCs w:val="22"/>
        </w:rPr>
        <w:t xml:space="preserve">Tell you the outcome, in plain language, with our reasons.</w:t>
      </w:r>
    </w:p>
    <w:p>
      <w:pPr>
        <w:spacing w:after="140"/>
      </w:pPr>
      <w:r>
        <w:rPr>
          <w:sz w:val="22"/>
          <w:szCs w:val="22"/>
        </w:rPr>
        <w:t xml:space="preserve">If you are not satisfied with our response, you can complain to the Information Commissioner's Office at ico.org.uk or on 0303 123 1113. You can go to the ICO whether or not you have come to us first, and nothing here takes that right away.</w:t>
      </w:r>
    </w:p>
    <w:p>
      <w:pPr>
        <w:spacing w:after="140"/>
      </w:pPr>
      <w:r>
        <w:rPr>
          <w:b/>
          <w:bCs/>
          <w:sz w:val="22"/>
          <w:szCs w:val="22"/>
        </w:rPr>
        <w:t xml:space="preserve">TO CONFIRM: </w:t>
      </w:r>
      <w:r>
        <w:rPr>
          <w:b/>
          <w:bCs/>
          <w:sz w:val="22"/>
          <w:szCs w:val="22"/>
        </w:rPr>
        <w:t xml:space="preserve">written internal complaints procedure and complaint log still to be built. This section states what we intend to do.</w:t>
      </w:r>
    </w:p>
    <w:p>
      <w:pPr>
        <w:pBdr>
          <w:bottom w:val="single" w:color="8C8C8C" w:sz="6" w:space="1"/>
        </w:pBdr>
        <w:spacing w:after="160" w:before="160"/>
      </w:pPr>
      <w:r>
        <w:rPr>
          <w:sz w:val="2"/>
          <w:szCs w:val="2"/>
        </w:rPr>
        <w:t xml:space="preserve"/>
      </w:r>
    </w:p>
    <w:p>
      <w:pPr>
        <w:spacing w:after="140"/>
      </w:pPr>
      <w:r>
        <w:rPr>
          <w:i/>
          <w:iCs/>
          <w:sz w:val="22"/>
          <w:szCs w:val="22"/>
        </w:rPr>
        <w:t xml:space="preserve">Build New Habits · Alongside: Move · Privacy Policy (Draft for Solicitor Review) · 28 Aug 2026 v5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B4F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2026-08-28T07:05:53.794Z</dcterms:created>
  <dcterms:modified xsi:type="dcterms:W3CDTF">2026-08-28T07:05:53.794Z</dcterms:modified>
</cp:coreProperties>
</file>

<file path=docProps/custom.xml><?xml version="1.0" encoding="utf-8"?>
<Properties xmlns="http://schemas.openxmlformats.org/officeDocument/2006/custom-properties" xmlns:vt="http://schemas.openxmlformats.org/officeDocument/2006/docPropsVTypes"/>
</file>