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937"/>
          <w:sz w:val="40"/>
          <w:szCs w:val="40"/>
        </w:rPr>
        <w:t xml:space="preserve">Alongside: Move</w:t>
      </w:r>
    </w:p>
    <w:p>
      <w:pPr>
        <w:spacing w:after="80"/>
      </w:pPr>
      <w:r>
        <w:rPr>
          <w:rFonts w:ascii="Arial" w:cs="Arial" w:eastAsia="Arial" w:hAnsi="Arial"/>
          <w:color w:val="4B5563"/>
          <w:sz w:val="30"/>
          <w:szCs w:val="30"/>
        </w:rPr>
        <w:t xml:space="preserve">Clinical review — follow-up pack</w:t>
      </w:r>
    </w:p>
    <w:p>
      <w:pPr>
        <w:pBdr>
          <w:bottom w:val="single" w:color="9CA3AF" w:sz="8" w:space="6"/>
        </w:pBdr>
        <w:spacing w:after="320"/>
      </w:pPr>
      <w:r>
        <w:rPr>
          <w:rFonts w:ascii="Arial" w:cs="Arial" w:eastAsia="Arial" w:hAnsi="Arial"/>
          <w:color w:val="4B5563"/>
          <w:sz w:val="22"/>
          <w:szCs w:val="22"/>
        </w:rPr>
        <w:t xml:space="preserve">Build New Habits  ·  16 Sep 2026 v2</w:t>
      </w:r>
    </w:p>
    <w:p>
      <w:pPr>
        <w:pStyle w:val="Heading1"/>
        <w:spacing w:after="160" w:before="320"/>
      </w:pPr>
      <w:r>
        <w:rPr>
          <w:rFonts w:ascii="Arial" w:cs="Arial" w:eastAsia="Arial" w:hAnsi="Arial"/>
          <w:b/>
          <w:bCs/>
          <w:color w:val="1F2937"/>
          <w:sz w:val="32"/>
          <w:szCs w:val="32"/>
        </w:rPr>
        <w:t xml:space="preserve">A reminder of what this is</w:t>
      </w:r>
    </w:p>
    <w:p>
      <w:pPr>
        <w:spacing w:after="140" w:line="300"/>
      </w:pPr>
      <w:r>
        <w:rPr>
          <w:rFonts w:ascii="Arial" w:cs="Arial" w:eastAsia="Arial" w:hAnsi="Arial"/>
          <w:color w:val="1F2937"/>
          <w:sz w:val="22"/>
          <w:szCs w:val="22"/>
        </w:rPr>
        <w:t xml:space="preserve">In August we sent you a clinical review pack for Alongside: Move — a phone app that coaches people through movement sessions, adapting to how they feel each day. It is not a treatment service or a diagnostic tool, and there is no human coach behind it. It is built for people mainstream fitness has failed: neurodivergent adults, women through hormonal change, and parents short on time. It is for adults only.</w:t>
      </w:r>
    </w:p>
    <w:p>
      <w:pPr>
        <w:spacing w:after="140" w:line="300"/>
      </w:pPr>
      <w:r>
        <w:rPr>
          <w:rFonts w:ascii="Arial" w:cs="Arial" w:eastAsia="Arial" w:hAnsi="Arial"/>
          <w:color w:val="1F2937"/>
          <w:sz w:val="22"/>
          <w:szCs w:val="22"/>
        </w:rPr>
        <w:t xml:space="preserve">That pack asked for two bounded pieces of paid work: the red-flag safety screen, and an audit of 95 rehabilitation exercises. This is a separate, smaller follow-up. It exists because building the app raised two specific questions we are not qualified to answer.</w:t>
      </w:r>
    </w:p>
    <w:p>
      <w:pPr>
        <w:spacing w:after="120"/>
      </w:pPr>
      <w:r>
        <w:rPr>
          <w:rFonts w:ascii="Arial" w:cs="Arial" w:eastAsia="Arial" w:hAnsi="Arial"/>
          <w:color w:val="1F2937"/>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A3AF" w:sz="4"/>
              <w:left w:val="single" w:color="9CA3AF" w:sz="4"/>
              <w:bottom w:val="single" w:color="9CA3AF" w:sz="4"/>
              <w:right w:val="single" w:color="9CA3AF" w:sz="4"/>
            </w:tcBorders>
            <w:shd w:fill="F3F4F6" w:color="auto" w:val="clear"/>
            <w:tcMar>
              <w:top w:type="dxa" w:w="140"/>
              <w:left w:type="dxa" w:w="200"/>
              <w:bottom w:type="dxa" w:w="140"/>
              <w:right w:type="dxa" w:w="200"/>
            </w:tcMar>
          </w:tcPr>
          <w:p>
            <w:pPr>
              <w:spacing w:after="140" w:line="300"/>
            </w:pPr>
            <w:r>
              <w:rPr>
                <w:rFonts w:ascii="Arial" w:cs="Arial" w:eastAsia="Arial" w:hAnsi="Arial"/>
                <w:b/>
                <w:bCs/>
                <w:color w:val="1F2937"/>
                <w:sz w:val="22"/>
                <w:szCs w:val="22"/>
              </w:rPr>
              <w:t xml:space="preserve">Please read this before anything else.</w:t>
            </w:r>
          </w:p>
          <w:p>
            <w:pPr>
              <w:spacing w:after="140" w:line="300"/>
            </w:pPr>
            <w:r>
              <w:rPr>
                <w:rFonts w:ascii="Arial" w:cs="Arial" w:eastAsia="Arial" w:hAnsi="Arial"/>
                <w:color w:val="1F2937"/>
                <w:sz w:val="22"/>
                <w:szCs w:val="22"/>
              </w:rPr>
              <w:t xml:space="preserve">No physiotherapist has reviewed any of what follows. We drafted it using AI tools and researched it against published evidence, and every reference in this document is one we actually retrieved and read the abstract or summary of — but reading an abstract is not appraising a study, and we have not appraised any of them.</w:t>
            </w:r>
          </w:p>
          <w:p>
            <w:pPr>
              <w:spacing w:after="140" w:line="300"/>
            </w:pPr>
            <w:r>
              <w:rPr>
                <w:rFonts w:ascii="Arial" w:cs="Arial" w:eastAsia="Arial" w:hAnsi="Arial"/>
                <w:color w:val="1F2937"/>
                <w:sz w:val="22"/>
                <w:szCs w:val="22"/>
              </w:rPr>
              <w:t xml:space="preserve">In August we told you an earlier draft of ours had invented a plausible loading rule and attributed it to a clinician who never said it. We have tried hard not to repeat that. Where we found no evidence for something, we say so rather than filling the gap.</w:t>
            </w:r>
          </w:p>
          <w:p>
            <w:pPr>
              <w:spacing w:after="140" w:line="300"/>
            </w:pPr>
            <w:r>
              <w:rPr>
                <w:rFonts w:ascii="Arial" w:cs="Arial" w:eastAsia="Arial" w:hAnsi="Arial"/>
                <w:color w:val="1F2937"/>
                <w:sz w:val="22"/>
                <w:szCs w:val="22"/>
              </w:rPr>
              <w:t xml:space="preserve">Everything here is a draft for you to correct, replace or reject. We would much rather have your wording than ours with your name on it.</w:t>
            </w:r>
          </w:p>
        </w:tc>
      </w:tr>
    </w:tbl>
    <w:p>
      <w:pPr>
        <w:pStyle w:val="Heading1"/>
        <w:spacing w:after="160" w:before="320"/>
      </w:pPr>
      <w:r>
        <w:rPr>
          <w:rFonts w:ascii="Arial" w:cs="Arial" w:eastAsia="Arial" w:hAnsi="Arial"/>
          <w:b/>
          <w:bCs/>
          <w:color w:val="1F2937"/>
          <w:sz w:val="32"/>
          <w:szCs w:val="32"/>
        </w:rPr>
        <w:t xml:space="preserve">What we are asking for</w:t>
      </w:r>
    </w:p>
    <w:p>
      <w:pPr>
        <w:spacing w:after="140" w:line="300"/>
      </w:pPr>
      <w:r>
        <w:rPr>
          <w:rFonts w:ascii="Arial" w:cs="Arial" w:eastAsia="Arial" w:hAnsi="Arial"/>
          <w:color w:val="1F2937"/>
          <w:sz w:val="22"/>
          <w:szCs w:val="22"/>
        </w:rPr>
        <w:t xml:space="preserve">Two things, each small, and either can be done without the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238"/>
        <w:gridCol w:w="2200"/>
      </w:tblGrid>
      <w:tr>
        <w:trPr>
          <w:tblHeader/>
        </w:trPr>
        <w:tc>
          <w:tcPr>
            <w:tcW w:type="dxa" w:w="22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Part</w:t>
            </w:r>
          </w:p>
        </w:tc>
        <w:tc>
          <w:tcPr>
            <w:tcW w:type="dxa" w:w="5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What it is</w:t>
            </w:r>
          </w:p>
        </w:tc>
        <w:tc>
          <w:tcPr>
            <w:tcW w:type="dxa" w:w="22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time estimate</w:t>
            </w:r>
          </w:p>
        </w:tc>
      </w:tr>
      <w:tr>
        <w:tc>
          <w:tcPr>
            <w:tcW w:type="dxa" w:w="2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w:t>
            </w:r>
          </w:p>
        </w:tc>
        <w:tc>
          <w:tcPr>
            <w:tcW w:type="dxa" w:w="5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Check one piece of logic: how the app chooses a session when somebody reports a sore area and asks to “build strength around it”.</w:t>
            </w:r>
          </w:p>
        </w:tc>
        <w:tc>
          <w:tcPr>
            <w:tcW w:type="dxa" w:w="2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20–30 minutes</w:t>
            </w:r>
          </w:p>
        </w:tc>
      </w:tr>
      <w:tr>
        <w:tc>
          <w:tcPr>
            <w:tcW w:type="dxa" w:w="2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w:t>
            </w:r>
          </w:p>
        </w:tc>
        <w:tc>
          <w:tcPr>
            <w:tcW w:type="dxa" w:w="5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Review nine exercise descriptions that the app currently shows with no instructions at all.</w:t>
            </w:r>
          </w:p>
        </w:tc>
        <w:tc>
          <w:tcPr>
            <w:tcW w:type="dxa" w:w="2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45–60 minutes</w:t>
            </w:r>
          </w:p>
        </w:tc>
      </w:tr>
    </w:tbl>
    <w:p>
      <w:pPr>
        <w:spacing w:after="140" w:before="160"/>
      </w:pPr>
      <w:r>
        <w:rPr>
          <w:rFonts w:ascii="Arial" w:cs="Arial" w:eastAsia="Arial" w:hAnsi="Arial"/>
          <w:color w:val="1F2937"/>
          <w:sz w:val="22"/>
          <w:szCs w:val="22"/>
        </w:rPr>
        <w:t xml:space="preserve">Estimates are ours and may well be wrong. </w:t>
      </w:r>
      <w:r>
        <w:rPr>
          <w:rFonts w:ascii="Arial" w:cs="Arial" w:eastAsia="Arial" w:hAnsi="Arial"/>
          <w:b/>
          <w:bCs/>
          <w:color w:val="1F2937"/>
          <w:sz w:val="22"/>
          <w:szCs w:val="22"/>
        </w:rPr>
        <w:t xml:space="preserve">For each item there is a tick-box grid</w:t>
      </w:r>
      <w:r>
        <w:rPr>
          <w:rFonts w:ascii="Arial" w:cs="Arial" w:eastAsia="Arial" w:hAnsi="Arial"/>
          <w:color w:val="1F2937"/>
          <w:sz w:val="22"/>
          <w:szCs w:val="22"/>
        </w:rPr>
        <w:t xml:space="preserve"> — accept, accept with changes, replace, or remove — so you can respond without writing prose unless you want to.</w:t>
      </w:r>
    </w:p>
    <w:p>
      <w:pPr>
        <w:pStyle w:val="Heading1"/>
        <w:spacing w:after="160" w:before="320"/>
      </w:pPr>
      <w:r>
        <w:rPr>
          <w:rFonts w:ascii="Arial" w:cs="Arial" w:eastAsia="Arial" w:hAnsi="Arial"/>
          <w:b/>
          <w:bCs/>
          <w:color w:val="1F2937"/>
          <w:sz w:val="32"/>
          <w:szCs w:val="32"/>
        </w:rPr>
        <w:t xml:space="preserve">Part A — “Build strength around it”</w:t>
      </w:r>
    </w:p>
    <w:p>
      <w:pPr>
        <w:pStyle w:val="Heading2"/>
        <w:spacing w:after="120" w:before="260"/>
      </w:pPr>
      <w:r>
        <w:rPr>
          <w:rFonts w:ascii="Arial" w:cs="Arial" w:eastAsia="Arial" w:hAnsi="Arial"/>
          <w:b/>
          <w:bCs/>
          <w:color w:val="1F2937"/>
          <w:sz w:val="26"/>
          <w:szCs w:val="26"/>
        </w:rPr>
        <w:t xml:space="preserve">What the app does</w:t>
      </w:r>
    </w:p>
    <w:p>
      <w:pPr>
        <w:spacing w:after="140" w:line="300"/>
      </w:pPr>
      <w:r>
        <w:rPr>
          <w:rFonts w:ascii="Arial" w:cs="Arial" w:eastAsia="Arial" w:hAnsi="Arial"/>
          <w:color w:val="1F2937"/>
          <w:sz w:val="22"/>
          <w:szCs w:val="22"/>
        </w:rPr>
        <w:t xml:space="preserve">At the end of a check-in the app now asks what today’s session is for. One answer is “something’s niggling”. The app then offers ways to approach it, and one of those is “build strength around it” — the idea being to train the areas that support a sore part, without loading the sore part directly.</w:t>
      </w:r>
    </w:p>
    <w:p>
      <w:pPr>
        <w:spacing w:after="140" w:line="300"/>
      </w:pPr>
      <w:r>
        <w:rPr>
          <w:rFonts w:ascii="Arial" w:cs="Arial" w:eastAsia="Arial" w:hAnsi="Arial"/>
          <w:color w:val="1F2937"/>
          <w:sz w:val="22"/>
          <w:szCs w:val="22"/>
        </w:rPr>
        <w:t xml:space="preserve">The app turns that into one of four session types, depending on where the person says the problem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4038"/>
      </w:tblGrid>
      <w:tr>
        <w:trPr>
          <w:tblHeader/>
        </w:trPr>
        <w:tc>
          <w:tcPr>
            <w:tcW w:type="dxa" w:w="32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Sore area reported</w:t>
            </w:r>
          </w:p>
        </w:tc>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Session the app builds</w:t>
            </w:r>
          </w:p>
        </w:tc>
        <w:tc>
          <w:tcPr>
            <w:tcW w:type="dxa" w:w="40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reasoning</w:t>
            </w:r>
          </w:p>
        </w:tc>
      </w:tr>
      <w:tr>
        <w:tc>
          <w:tcPr>
            <w:tcW w:type="dxa" w:w="3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Lower back, upper back, spine, sciatica</w:t>
            </w:r>
          </w:p>
        </w:tc>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Glute-focused session</w:t>
            </w:r>
          </w:p>
        </w:tc>
        <w:tc>
          <w:tcPr>
            <w:tcW w:type="dxa" w:w="40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Train the hips and posterior chain so they take load the back would otherwise take.</w:t>
            </w:r>
          </w:p>
        </w:tc>
      </w:tr>
      <w:tr>
        <w:tc>
          <w:tcPr>
            <w:tcW w:type="dxa" w:w="3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Hips, glutes, hip flexors, adductors</w:t>
            </w:r>
          </w:p>
        </w:tc>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Core-focused session</w:t>
            </w:r>
          </w:p>
        </w:tc>
        <w:tc>
          <w:tcPr>
            <w:tcW w:type="dxa" w:w="40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Train the trunk instead of the hips.</w:t>
            </w:r>
          </w:p>
        </w:tc>
      </w:tr>
      <w:tr>
        <w:tc>
          <w:tcPr>
            <w:tcW w:type="dxa" w:w="3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Hamstrings, quads, knees, calves, ankles</w:t>
            </w:r>
          </w:p>
        </w:tc>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Core-focused session</w:t>
            </w:r>
          </w:p>
        </w:tc>
        <w:tc>
          <w:tcPr>
            <w:tcW w:type="dxa" w:w="40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Train the trunk instead of the legs.</w:t>
            </w:r>
          </w:p>
        </w:tc>
      </w:tr>
      <w:tr>
        <w:tc>
          <w:tcPr>
            <w:tcW w:type="dxa" w:w="32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Shoulders, rotator cuff, wrists, elbows, chest</w:t>
            </w:r>
          </w:p>
        </w:tc>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Lower-body session</w:t>
            </w:r>
          </w:p>
        </w:tc>
        <w:tc>
          <w:tcPr>
            <w:tcW w:type="dxa" w:w="40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Train the legs instead of the upper body.</w:t>
            </w:r>
          </w:p>
        </w:tc>
      </w:tr>
    </w:tbl>
    <w:p>
      <w:pPr>
        <w:spacing w:after="140" w:before="120"/>
      </w:pPr>
      <w:r>
        <w:rPr>
          <w:rFonts w:ascii="Arial" w:cs="Arial" w:eastAsia="Arial" w:hAnsi="Arial"/>
          <w:i/>
          <w:iCs/>
          <w:color w:val="1F2937"/>
          <w:sz w:val="22"/>
          <w:szCs w:val="22"/>
        </w:rPr>
        <w:t xml:space="preserve">If the area is not recognised, the app falls back to a general full-body session rather than guessing.</w:t>
      </w:r>
    </w:p>
    <w:p>
      <w:pPr>
        <w:pStyle w:val="Heading2"/>
        <w:spacing w:after="120" w:before="260"/>
      </w:pPr>
      <w:r>
        <w:rPr>
          <w:rFonts w:ascii="Arial" w:cs="Arial" w:eastAsia="Arial" w:hAnsi="Arial"/>
          <w:b/>
          <w:bCs/>
          <w:color w:val="1F2937"/>
          <w:sz w:val="26"/>
          <w:szCs w:val="26"/>
        </w:rPr>
        <w:t xml:space="preserve">What we found when we checked the evidence</w:t>
      </w:r>
    </w:p>
    <w:p>
      <w:pPr>
        <w:spacing w:after="140" w:line="300"/>
      </w:pPr>
      <w:r>
        <w:rPr>
          <w:rFonts w:ascii="Arial" w:cs="Arial" w:eastAsia="Arial" w:hAnsi="Arial"/>
          <w:b/>
          <w:bCs/>
          <w:color w:val="1F2937"/>
          <w:sz w:val="22"/>
          <w:szCs w:val="22"/>
        </w:rPr>
        <w:t xml:space="preserve">On the back. </w:t>
      </w:r>
      <w:r>
        <w:rPr>
          <w:rFonts w:ascii="Arial" w:cs="Arial" w:eastAsia="Arial" w:hAnsi="Arial"/>
          <w:color w:val="1F2937"/>
          <w:sz w:val="22"/>
          <w:szCs w:val="22"/>
        </w:rPr>
        <w:t xml:space="preserve">NICE NG59 recommends considering exercise for low back pain — biomechanical, aerobic, mind–body or a combination — chosen around the person’s needs and preferences, but does not single out any particular muscle group. [1]</w:t>
      </w:r>
    </w:p>
    <w:p>
      <w:pPr>
        <w:spacing w:after="140" w:line="300"/>
      </w:pPr>
      <w:r>
        <w:rPr>
          <w:rFonts w:ascii="Arial" w:cs="Arial" w:eastAsia="Arial" w:hAnsi="Arial"/>
          <w:color w:val="1F2937"/>
          <w:sz w:val="22"/>
          <w:szCs w:val="22"/>
        </w:rPr>
        <w:t xml:space="preserve">The research on hip strengthening for low back pain is more mixed than our mapping implies:</w:t>
      </w:r>
    </w:p>
    <w:p>
      <w:pPr>
        <w:pStyle w:val="ListParagraph"/>
        <w:numPr>
          <w:ilvl w:val="0"/>
          <w:numId w:val="2"/>
        </w:numPr>
        <w:spacing w:after="80" w:line="290"/>
      </w:pPr>
      <w:r>
        <w:rPr>
          <w:rFonts w:ascii="Arial" w:cs="Arial" w:eastAsia="Arial" w:hAnsi="Arial"/>
          <w:color w:val="1F2937"/>
          <w:sz w:val="22"/>
          <w:szCs w:val="22"/>
        </w:rPr>
        <w:t xml:space="preserve">A 2020 meta-analysis concluded that adding hip strengthening to conventional rehabilitation </w:t>
      </w:r>
      <w:r>
        <w:rPr>
          <w:rFonts w:ascii="Arial" w:cs="Arial" w:eastAsia="Arial" w:hAnsi="Arial"/>
          <w:i/>
          <w:iCs/>
          <w:color w:val="1F2937"/>
          <w:sz w:val="22"/>
          <w:szCs w:val="22"/>
        </w:rPr>
        <w:t xml:space="preserve">may</w:t>
      </w:r>
      <w:r>
        <w:rPr>
          <w:rFonts w:ascii="Arial" w:cs="Arial" w:eastAsia="Arial" w:hAnsi="Arial"/>
          <w:color w:val="1F2937"/>
          <w:sz w:val="22"/>
          <w:szCs w:val="22"/>
        </w:rPr>
        <w:t xml:space="preserve"> help pain and disability. [2]</w:t>
      </w:r>
    </w:p>
    <w:p>
      <w:pPr>
        <w:pStyle w:val="ListParagraph"/>
        <w:numPr>
          <w:ilvl w:val="0"/>
          <w:numId w:val="2"/>
        </w:numPr>
        <w:spacing w:after="80" w:line="290"/>
      </w:pPr>
      <w:r>
        <w:rPr>
          <w:rFonts w:ascii="Arial" w:cs="Arial" w:eastAsia="Arial" w:hAnsi="Arial"/>
          <w:color w:val="1F2937"/>
          <w:sz w:val="22"/>
          <w:szCs w:val="22"/>
        </w:rPr>
        <w:t xml:space="preserve">A 2023 meta-analysis rated the evidence for hip strengthening in low back pain as </w:t>
      </w:r>
      <w:r>
        <w:rPr>
          <w:rFonts w:ascii="Arial" w:cs="Arial" w:eastAsia="Arial" w:hAnsi="Arial"/>
          <w:b/>
          <w:bCs/>
          <w:color w:val="1F2937"/>
          <w:sz w:val="22"/>
          <w:szCs w:val="22"/>
        </w:rPr>
        <w:t xml:space="preserve">very low certainty</w:t>
      </w:r>
      <w:r>
        <w:rPr>
          <w:rFonts w:ascii="Arial" w:cs="Arial" w:eastAsia="Arial" w:hAnsi="Arial"/>
          <w:color w:val="1F2937"/>
          <w:sz w:val="22"/>
          <w:szCs w:val="22"/>
        </w:rPr>
        <w:t xml:space="preserve">, and short-term only. [3]</w:t>
      </w:r>
    </w:p>
    <w:p>
      <w:pPr>
        <w:pStyle w:val="ListParagraph"/>
        <w:numPr>
          <w:ilvl w:val="0"/>
          <w:numId w:val="2"/>
        </w:numPr>
        <w:spacing w:after="80" w:line="290"/>
      </w:pPr>
      <w:r>
        <w:rPr>
          <w:rFonts w:ascii="Arial" w:cs="Arial" w:eastAsia="Arial" w:hAnsi="Arial"/>
          <w:color w:val="1F2937"/>
          <w:sz w:val="22"/>
          <w:szCs w:val="22"/>
        </w:rPr>
        <w:t xml:space="preserve">A 2022 review with GRADE ratings described the evidence as </w:t>
      </w:r>
      <w:r>
        <w:rPr>
          <w:rFonts w:ascii="Arial" w:cs="Arial" w:eastAsia="Arial" w:hAnsi="Arial"/>
          <w:b/>
          <w:bCs/>
          <w:color w:val="1F2937"/>
          <w:sz w:val="22"/>
          <w:szCs w:val="22"/>
        </w:rPr>
        <w:t xml:space="preserve">uncertain</w:t>
      </w:r>
      <w:r>
        <w:rPr>
          <w:rFonts w:ascii="Arial" w:cs="Arial" w:eastAsia="Arial" w:hAnsi="Arial"/>
          <w:color w:val="1F2937"/>
          <w:sz w:val="22"/>
          <w:szCs w:val="22"/>
        </w:rPr>
        <w:t xml:space="preserve"> and “scarce”. [4]</w:t>
      </w:r>
    </w:p>
    <w:p>
      <w:pPr>
        <w:pStyle w:val="ListParagraph"/>
        <w:numPr>
          <w:ilvl w:val="0"/>
          <w:numId w:val="2"/>
        </w:numPr>
        <w:spacing w:after="80" w:line="290"/>
      </w:pPr>
      <w:r>
        <w:rPr>
          <w:rFonts w:ascii="Arial" w:cs="Arial" w:eastAsia="Arial" w:hAnsi="Arial"/>
          <w:color w:val="1F2937"/>
          <w:sz w:val="22"/>
          <w:szCs w:val="22"/>
        </w:rPr>
        <w:t xml:space="preserve">One randomised controlled trial found that adding specific hip treatment gave </w:t>
      </w:r>
      <w:r>
        <w:rPr>
          <w:rFonts w:ascii="Arial" w:cs="Arial" w:eastAsia="Arial" w:hAnsi="Arial"/>
          <w:b/>
          <w:bCs/>
          <w:color w:val="1F2937"/>
          <w:sz w:val="22"/>
          <w:szCs w:val="22"/>
        </w:rPr>
        <w:t xml:space="preserve">no additional benefit</w:t>
      </w:r>
      <w:r>
        <w:rPr>
          <w:rFonts w:ascii="Arial" w:cs="Arial" w:eastAsia="Arial" w:hAnsi="Arial"/>
          <w:color w:val="1F2937"/>
          <w:sz w:val="22"/>
          <w:szCs w:val="22"/>
        </w:rPr>
        <w:t xml:space="preserve"> over treating the back directly. We have only seen this cited, not read it. [5]</w:t>
      </w:r>
    </w:p>
    <w:p>
      <w:pPr>
        <w:pStyle w:val="ListParagraph"/>
        <w:numPr>
          <w:ilvl w:val="0"/>
          <w:numId w:val="2"/>
        </w:numPr>
        <w:spacing w:after="80" w:line="290"/>
      </w:pPr>
      <w:r>
        <w:rPr>
          <w:rFonts w:ascii="Arial" w:cs="Arial" w:eastAsia="Arial" w:hAnsi="Arial"/>
          <w:color w:val="1F2937"/>
          <w:sz w:val="22"/>
          <w:szCs w:val="22"/>
        </w:rPr>
        <w:t xml:space="preserve">A separate meta-analysis of posterior-chain resistance training found it more effective than general exercise for chronic low back pain. [6]</w:t>
      </w:r>
    </w:p>
    <w:p>
      <w:pPr>
        <w:spacing w:after="140" w:before="160"/>
      </w:pPr>
      <w:r>
        <w:rPr>
          <w:rFonts w:ascii="Arial" w:cs="Arial" w:eastAsia="Arial" w:hAnsi="Arial"/>
          <w:b/>
          <w:bCs/>
          <w:color w:val="1F2937"/>
          <w:sz w:val="22"/>
          <w:szCs w:val="22"/>
        </w:rPr>
        <w:t xml:space="preserve">On the shoulder. </w:t>
      </w:r>
      <w:r>
        <w:rPr>
          <w:rFonts w:ascii="Arial" w:cs="Arial" w:eastAsia="Arial" w:hAnsi="Arial"/>
          <w:color w:val="1F2937"/>
          <w:sz w:val="22"/>
          <w:szCs w:val="22"/>
        </w:rPr>
        <w:t xml:space="preserve">This is where we think our mapping is most likely to be wrong. The evidence we found for rotator-cuff-related shoulder pain is about exercising </w:t>
      </w:r>
      <w:r>
        <w:rPr>
          <w:rFonts w:ascii="Arial" w:cs="Arial" w:eastAsia="Arial" w:hAnsi="Arial"/>
          <w:b/>
          <w:bCs/>
          <w:color w:val="1F2937"/>
          <w:sz w:val="22"/>
          <w:szCs w:val="22"/>
        </w:rPr>
        <w:t xml:space="preserve">the shoulder itself</w:t>
      </w:r>
      <w:r>
        <w:rPr>
          <w:rFonts w:ascii="Arial" w:cs="Arial" w:eastAsia="Arial" w:hAnsi="Arial"/>
          <w:color w:val="1F2937"/>
          <w:sz w:val="22"/>
          <w:szCs w:val="22"/>
        </w:rPr>
        <w:t xml:space="preserve"> — the rotator cuff and scapular stabilisers — though the certainty is low and no single approach stands out. [7] One scoping review found exercise both with and without pain was effective, without significant difference. [8]</w:t>
      </w:r>
    </w:p>
    <w:p>
      <w:pPr>
        <w:spacing w:after="140" w:line="300"/>
      </w:pPr>
      <w:r>
        <w:rPr>
          <w:rFonts w:ascii="Arial" w:cs="Arial" w:eastAsia="Arial" w:hAnsi="Arial"/>
          <w:color w:val="1F2937"/>
          <w:sz w:val="22"/>
          <w:szCs w:val="22"/>
        </w:rPr>
        <w:t xml:space="preserve">So “work the legs instead” is not shoulder rehabilitation. At best it is a day-to-day choice to rest a sore area while still training. We are not sure it is even that, and it may steer people away from exactly the loading that would help.</w:t>
      </w:r>
    </w:p>
    <w:p>
      <w:pPr>
        <w:spacing w:after="120"/>
      </w:pPr>
      <w:r>
        <w:rPr>
          <w:rFonts w:ascii="Arial" w:cs="Arial" w:eastAsia="Arial" w:hAnsi="Arial"/>
          <w:color w:val="1F2937"/>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A3AF" w:sz="4"/>
              <w:left w:val="single" w:color="9CA3AF" w:sz="4"/>
              <w:bottom w:val="single" w:color="9CA3AF" w:sz="4"/>
              <w:right w:val="single" w:color="9CA3AF" w:sz="4"/>
            </w:tcBorders>
            <w:shd w:fill="F3F4F6" w:color="auto" w:val="clear"/>
            <w:tcMar>
              <w:top w:type="dxa" w:w="140"/>
              <w:left w:type="dxa" w:w="200"/>
              <w:bottom w:type="dxa" w:w="140"/>
              <w:right w:type="dxa" w:w="200"/>
            </w:tcMar>
          </w:tcPr>
          <w:p>
            <w:pPr>
              <w:spacing w:after="140" w:line="300"/>
            </w:pPr>
            <w:r>
              <w:rPr>
                <w:rFonts w:ascii="Arial" w:cs="Arial" w:eastAsia="Arial" w:hAnsi="Arial"/>
                <w:b/>
                <w:bCs/>
                <w:color w:val="1F2937"/>
                <w:sz w:val="22"/>
                <w:szCs w:val="22"/>
              </w:rPr>
              <w:t xml:space="preserve">Our honest summary of Part A.</w:t>
            </w:r>
          </w:p>
          <w:p>
            <w:pPr>
              <w:spacing w:after="140" w:line="300"/>
            </w:pPr>
            <w:r>
              <w:rPr>
                <w:rFonts w:ascii="Arial" w:cs="Arial" w:eastAsia="Arial" w:hAnsi="Arial"/>
                <w:color w:val="1F2937"/>
                <w:sz w:val="22"/>
                <w:szCs w:val="22"/>
              </w:rPr>
              <w:t xml:space="preserve">The back mapping rests on low-certainty evidence with at least one trial pointing the other way. The shoulder mapping may run against the evidence altogether. The hip and leg mappings we found no specific evidence for either way.</w:t>
            </w:r>
          </w:p>
          <w:p>
            <w:pPr>
              <w:spacing w:after="140" w:line="300"/>
            </w:pPr>
            <w:r>
              <w:rPr>
                <w:rFonts w:ascii="Arial" w:cs="Arial" w:eastAsia="Arial" w:hAnsi="Arial"/>
                <w:color w:val="1F2937"/>
                <w:sz w:val="22"/>
                <w:szCs w:val="22"/>
              </w:rPr>
              <w:t xml:space="preserve">We currently show the person a line such as “You’ve flagged your lower back 3 times in the last fortnight. I’d build strength around it rather than work it directly.” We think that sentence may be claiming more certainty than the evidence supports, and we would value your view on whether it should be softened, reworded, or removed.</w:t>
            </w:r>
          </w:p>
        </w:tc>
      </w:tr>
    </w:tbl>
    <w:p>
      <w:pPr>
        <w:pStyle w:val="Heading2"/>
        <w:spacing w:after="120" w:before="260"/>
      </w:pPr>
      <w:r>
        <w:rPr>
          <w:rFonts w:ascii="Arial" w:cs="Arial" w:eastAsia="Arial" w:hAnsi="Arial"/>
          <w:b/>
          <w:bCs/>
          <w:color w:val="1F2937"/>
          <w:sz w:val="26"/>
          <w:szCs w:val="26"/>
        </w:rPr>
        <w:t xml:space="preserve">Our questions for you</w:t>
      </w:r>
    </w:p>
    <w:p>
      <w:pPr>
        <w:pStyle w:val="ListParagraph"/>
        <w:numPr>
          <w:ilvl w:val="0"/>
          <w:numId w:val="2"/>
        </w:numPr>
        <w:spacing w:after="80" w:line="290"/>
      </w:pPr>
      <w:r>
        <w:rPr>
          <w:rFonts w:ascii="Arial" w:cs="Arial" w:eastAsia="Arial" w:hAnsi="Arial"/>
          <w:color w:val="1F2937"/>
          <w:sz w:val="22"/>
          <w:szCs w:val="22"/>
        </w:rPr>
        <w:t xml:space="preserve">Is “build strength around it” a reasonable option to offer a non-clinical user at all, or does it imply a judgement the app should not be making?</w:t>
      </w:r>
    </w:p>
    <w:p>
      <w:pPr>
        <w:pStyle w:val="ListParagraph"/>
        <w:numPr>
          <w:ilvl w:val="0"/>
          <w:numId w:val="2"/>
        </w:numPr>
        <w:spacing w:after="80" w:line="290"/>
      </w:pPr>
      <w:r>
        <w:rPr>
          <w:rFonts w:ascii="Arial" w:cs="Arial" w:eastAsia="Arial" w:hAnsi="Arial"/>
          <w:color w:val="1F2937"/>
          <w:sz w:val="22"/>
          <w:szCs w:val="22"/>
        </w:rPr>
        <w:t xml:space="preserve">For each of the four rows in the table, is the session type sensible, wrong, or not something the app should decide?</w:t>
      </w:r>
    </w:p>
    <w:p>
      <w:pPr>
        <w:pStyle w:val="ListParagraph"/>
        <w:numPr>
          <w:ilvl w:val="0"/>
          <w:numId w:val="2"/>
        </w:numPr>
        <w:spacing w:after="80" w:line="290"/>
      </w:pPr>
      <w:r>
        <w:rPr>
          <w:rFonts w:ascii="Arial" w:cs="Arial" w:eastAsia="Arial" w:hAnsi="Arial"/>
          <w:color w:val="1F2937"/>
          <w:sz w:val="22"/>
          <w:szCs w:val="22"/>
        </w:rPr>
        <w:t xml:space="preserve">Should the shoulder row change to offer gentle shoulder loading rather than avoiding the shoulder?</w:t>
      </w:r>
    </w:p>
    <w:p>
      <w:pPr>
        <w:pStyle w:val="ListParagraph"/>
        <w:numPr>
          <w:ilvl w:val="0"/>
          <w:numId w:val="2"/>
        </w:numPr>
        <w:spacing w:after="80" w:line="290"/>
      </w:pPr>
      <w:r>
        <w:rPr>
          <w:rFonts w:ascii="Arial" w:cs="Arial" w:eastAsia="Arial" w:hAnsi="Arial"/>
          <w:color w:val="1F2937"/>
          <w:sz w:val="22"/>
          <w:szCs w:val="22"/>
        </w:rPr>
        <w:t xml:space="preserve">Is the recommendation sentence, quoted above, acceptable wording?</w:t>
      </w:r>
    </w:p>
    <w:p>
      <w:pPr>
        <w:pStyle w:val="Heading3"/>
        <w:spacing w:after="100" w:before="200"/>
      </w:pPr>
      <w:r>
        <w:rPr>
          <w:rFonts w:ascii="Arial" w:cs="Arial" w:eastAsia="Arial" w:hAnsi="Arial"/>
          <w:b/>
          <w:bCs/>
          <w:color w:val="1F2937"/>
          <w:sz w:val="23"/>
          <w:szCs w:val="23"/>
        </w:rPr>
        <w:t xml:space="preserve">Your decision on Part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Keep the mapping as it is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Keep it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“build strength around it” entirely</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1"/>
        <w:spacing w:after="160" w:before="320"/>
      </w:pPr>
      <w:r>
        <w:rPr>
          <w:rFonts w:ascii="Arial" w:cs="Arial" w:eastAsia="Arial" w:hAnsi="Arial"/>
          <w:b/>
          <w:bCs/>
          <w:color w:val="1F2937"/>
          <w:sz w:val="32"/>
          <w:szCs w:val="32"/>
        </w:rPr>
        <w:t xml:space="preserve">Part B — Nine exercises</w:t>
      </w:r>
    </w:p>
    <w:p>
      <w:pPr>
        <w:pStyle w:val="Heading2"/>
        <w:spacing w:after="120" w:before="260"/>
      </w:pPr>
      <w:r>
        <w:rPr>
          <w:rFonts w:ascii="Arial" w:cs="Arial" w:eastAsia="Arial" w:hAnsi="Arial"/>
          <w:b/>
          <w:bCs/>
          <w:color w:val="1F2937"/>
          <w:sz w:val="26"/>
          <w:szCs w:val="26"/>
        </w:rPr>
        <w:t xml:space="preserve">Why these nine</w:t>
      </w:r>
    </w:p>
    <w:p>
      <w:pPr>
        <w:spacing w:after="140" w:line="300"/>
      </w:pPr>
      <w:r>
        <w:rPr>
          <w:rFonts w:ascii="Arial" w:cs="Arial" w:eastAsia="Arial" w:hAnsi="Arial"/>
          <w:color w:val="1F2937"/>
          <w:sz w:val="22"/>
          <w:szCs w:val="22"/>
        </w:rPr>
        <w:t xml:space="preserve">The app contains a six-week morning programme. Until this week, its exercise screens showed only the name, the sets and reps, and a short coach note — no instructions, no things to watch out for, and no easier or harder versions. Every other part of the app shows all three.</w:t>
      </w:r>
    </w:p>
    <w:p>
      <w:pPr>
        <w:spacing w:after="140" w:line="300"/>
      </w:pPr>
      <w:r>
        <w:rPr>
          <w:rFonts w:ascii="Arial" w:cs="Arial" w:eastAsia="Arial" w:hAnsi="Arial"/>
          <w:color w:val="1F2937"/>
          <w:sz w:val="22"/>
          <w:szCs w:val="22"/>
        </w:rPr>
        <w:t xml:space="preserve">We fixed that by matching the programme’s exercises to descriptions already in the app’s library. 162 of 190 now match. Of the 28 that do not, 19 are supersets or circuits — two exercises paired together, which are made of exercises the library already describes. The remaining nine are single exercises the library has never described. Those are below.</w:t>
      </w:r>
    </w:p>
    <w:p>
      <w:pPr>
        <w:spacing w:after="140" w:line="300"/>
      </w:pPr>
      <w:r>
        <w:rPr>
          <w:rFonts w:ascii="Arial" w:cs="Arial" w:eastAsia="Arial" w:hAnsi="Arial"/>
          <w:b/>
          <w:bCs/>
          <w:color w:val="1F2937"/>
          <w:sz w:val="22"/>
          <w:szCs w:val="22"/>
        </w:rPr>
        <w:t xml:space="preserve">Until you have reviewed them, the app shows these nine with no instructions,</w:t>
      </w:r>
      <w:r>
        <w:rPr>
          <w:rFonts w:ascii="Arial" w:cs="Arial" w:eastAsia="Arial" w:hAnsi="Arial"/>
          <w:color w:val="1F2937"/>
          <w:sz w:val="22"/>
          <w:szCs w:val="22"/>
        </w:rPr>
        <w:t xml:space="preserve"> only its general “if it hurts” safety guidance. That is deliberate: we would rather show less than show an unreviewed description.</w:t>
      </w:r>
    </w:p>
    <w:p>
      <w:pPr>
        <w:pStyle w:val="Heading2"/>
        <w:spacing w:after="120" w:before="260"/>
      </w:pPr>
      <w:r>
        <w:rPr>
          <w:rFonts w:ascii="Arial" w:cs="Arial" w:eastAsia="Arial" w:hAnsi="Arial"/>
          <w:b/>
          <w:bCs/>
          <w:color w:val="1F2937"/>
          <w:sz w:val="26"/>
          <w:szCs w:val="26"/>
        </w:rPr>
        <w:t xml:space="preserve">How each entry is set out</w:t>
      </w:r>
    </w:p>
    <w:p>
      <w:pPr>
        <w:spacing w:after="140" w:line="300"/>
      </w:pPr>
      <w:r>
        <w:rPr>
          <w:rFonts w:ascii="Arial" w:cs="Arial" w:eastAsia="Arial" w:hAnsi="Arial"/>
          <w:color w:val="1F2937"/>
          <w:sz w:val="22"/>
          <w:szCs w:val="22"/>
        </w:rPr>
        <w:t xml:space="preserve">Each uses the audit template from the August pack, so it should look familiar. We have left out areas that do not apply to a general exercise — post-operative timing and media — and added a line stating how confident we are in the draft. Anything marked [Draft] is a guess we specifically want checked.</w:t>
      </w:r>
    </w:p>
    <w:p>
      <w:pPr>
        <w:spacing w:after="140" w:line="300"/>
      </w:pPr>
      <w:r>
        <w:rPr>
          <w:rFonts w:ascii="Arial" w:cs="Arial" w:eastAsia="Arial" w:hAnsi="Arial"/>
          <w:b/>
          <w:bCs/>
          <w:color w:val="1F2937"/>
          <w:sz w:val="22"/>
          <w:szCs w:val="22"/>
        </w:rPr>
        <w:t xml:space="preserve">Tricep Dips is first because it is the one we are least sure should be in the programme at all.</w:t>
      </w:r>
    </w:p>
    <w:p>
      <w:pPr>
        <w:pStyle w:val="Heading2"/>
        <w:spacing w:after="120" w:before="260"/>
      </w:pPr>
      <w:r>
        <w:rPr>
          <w:rFonts w:ascii="Arial" w:cs="Arial" w:eastAsia="Arial" w:hAnsi="Arial"/>
          <w:b/>
          <w:bCs/>
          <w:color w:val="1F2937"/>
          <w:sz w:val="26"/>
          <w:szCs w:val="26"/>
        </w:rPr>
        <w:t xml:space="preserve">1. Tricep Dips (bench)</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strength blocks. Also appears paired with a cable curl as a superset.</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Low. We are drafting it, but our research suggests it may be the wrong exercise to keep.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Triceps strength, bodyweight, minimal equipment.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General adult population training at home or in a gym.</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History of anterior shoulder instability, shoulder dislocation, or current shoulder pain. [Draft — please confirm.]</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Anyone with reduced shoulder extension range, or who feels the front of the shoulder during the movement.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Hands on the edge of a stable bench behind you, fingers forward, legs extended or knees bent.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Lower by bending the elbows, keeping them pointing backwards. Stop before the upper arm passes parallel to the floor. Press back up.</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Shoulders rolling forward; going deeper than parallel; shrugging towards the ears.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Bend the knees to take more weight through the legs; reduce depth.</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Straighten the legs, or progress to a parallel bar dip. [See the flag below.]</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Any pain at the front of the shoulder.</w:t>
            </w:r>
          </w:p>
        </w:tc>
      </w:tr>
    </w:tbl>
    <w:p>
      <w:pPr>
        <w:spacing w:after="120"/>
      </w:pPr>
      <w:r>
        <w:rPr>
          <w:rFonts w:ascii="Arial" w:cs="Arial" w:eastAsia="Arial" w:hAnsi="Arial"/>
          <w:color w:val="1F2937"/>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A3AF" w:sz="4"/>
              <w:left w:val="single" w:color="9CA3AF" w:sz="4"/>
              <w:bottom w:val="single" w:color="9CA3AF" w:sz="4"/>
              <w:right w:val="single" w:color="9CA3AF" w:sz="4"/>
            </w:tcBorders>
            <w:shd w:fill="F3F4F6" w:color="auto" w:val="clear"/>
            <w:tcMar>
              <w:top w:type="dxa" w:w="140"/>
              <w:left w:type="dxa" w:w="200"/>
              <w:bottom w:type="dxa" w:w="140"/>
              <w:right w:type="dxa" w:w="200"/>
            </w:tcMar>
          </w:tcPr>
          <w:p>
            <w:pPr>
              <w:spacing w:after="140" w:line="300"/>
            </w:pPr>
            <w:r>
              <w:rPr>
                <w:rFonts w:ascii="Arial" w:cs="Arial" w:eastAsia="Arial" w:hAnsi="Arial"/>
                <w:b/>
                <w:bCs/>
                <w:color w:val="1F2937"/>
                <w:sz w:val="22"/>
                <w:szCs w:val="22"/>
              </w:rPr>
              <w:t xml:space="preserve">Why we think this one needs your judgement more than our drafting.</w:t>
            </w:r>
          </w:p>
          <w:p>
            <w:pPr>
              <w:spacing w:after="140" w:line="300"/>
            </w:pPr>
            <w:r>
              <w:rPr>
                <w:rFonts w:ascii="Arial" w:cs="Arial" w:eastAsia="Arial" w:hAnsi="Arial"/>
                <w:color w:val="1F2937"/>
                <w:sz w:val="22"/>
                <w:szCs w:val="22"/>
              </w:rPr>
              <w:t xml:space="preserve">A 2022 motion-capture study of bench, bar and ring dips found the bench dip took the shoulder to an average of 101% of each lifter’s own maximum active extension range — the only variation of the three to go past it. The authors proposed repeated strain of the anterior band of the inferior glenohumeral ligament as a concern, rather than the pectoralis injury usually discussed, and specifically named people with a history of shoulder pain as the population to be careful with. [9]</w:t>
            </w:r>
          </w:p>
          <w:p>
            <w:pPr>
              <w:spacing w:after="140" w:line="300"/>
            </w:pPr>
            <w:r>
              <w:rPr>
                <w:rFonts w:ascii="Arial" w:cs="Arial" w:eastAsia="Arial" w:hAnsi="Arial"/>
                <w:color w:val="1F2937"/>
                <w:sz w:val="22"/>
                <w:szCs w:val="22"/>
              </w:rPr>
              <w:t xml:space="preserve">The same study found the bar dip produced higher triceps activation with less shoulder extension. Our instinct is that the bench dip should be replaced — for example by a band or cable tricep pushdown, which the library already describes — but that is a clinical call and not ours to make.</w:t>
            </w:r>
          </w:p>
        </w:tc>
      </w:tr>
    </w:tbl>
    <w:p>
      <w:pPr>
        <w:spacing w:after="140" w:before="160"/>
      </w:pPr>
      <w:r>
        <w:rPr>
          <w:rFonts w:ascii="Arial" w:cs="Arial" w:eastAsia="Arial" w:hAnsi="Arial"/>
          <w:b/>
          <w:bCs/>
          <w:color w:val="1F2937"/>
          <w:sz w:val="22"/>
          <w:szCs w:val="22"/>
        </w:rPr>
        <w:t xml:space="preserve">Our question for you: </w:t>
      </w:r>
      <w:r>
        <w:rPr>
          <w:rFonts w:ascii="Arial" w:cs="Arial" w:eastAsia="Arial" w:hAnsi="Arial"/>
          <w:color w:val="1F2937"/>
          <w:sz w:val="22"/>
          <w:szCs w:val="22"/>
        </w:rPr>
        <w:t xml:space="preserve">Should the bench dip stay in a programme for a general, untrained population at all, and if not, what would you put in its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2. Dumbbell Bench Press</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gym-day strength blocks. Distinct from the Dumbbell Floor Press, which the library already describes.</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on technique. Low on the shoulder-position guidance, which rests mainly on expert opinion.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Chest, front of shoulder and triceps strength.</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Adults with access to a bench.</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Acute shoulder injury.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Anyone with shoulder pain, particularly when the upper arms are wide of the body.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Lying on a flat bench, feet flat on the floor, a dumbbell in each hand at chest level.</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Press the weights up until the arms are straight but not locked. Lower under control to chest level. Elbows at roughly 45 degrees from the body rather than flared out to the sides.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Elbows flaring out to 90 degrees; arching the lower back off the bench; bouncing at the bottom.</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Lighter weights; reduce depth; or use the floor press, where the floor limits how far the shoulder can travel.</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Heavier weights; slower lowering phase.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Pain at the front or top of the shoulder.</w:t>
            </w:r>
          </w:p>
        </w:tc>
      </w:tr>
    </w:tbl>
    <w:p>
      <w:pPr>
        <w:spacing w:after="120"/>
      </w:pPr>
      <w:r>
        <w:rPr>
          <w:rFonts w:ascii="Arial" w:cs="Arial" w:eastAsia="Arial" w:hAnsi="Arial"/>
          <w:color w:val="1F2937"/>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A3AF" w:sz="4"/>
              <w:left w:val="single" w:color="9CA3AF" w:sz="4"/>
              <w:bottom w:val="single" w:color="9CA3AF" w:sz="4"/>
              <w:right w:val="single" w:color="9CA3AF" w:sz="4"/>
            </w:tcBorders>
            <w:shd w:fill="F3F4F6" w:color="auto" w:val="clear"/>
            <w:tcMar>
              <w:top w:type="dxa" w:w="140"/>
              <w:left w:type="dxa" w:w="200"/>
              <w:bottom w:type="dxa" w:w="140"/>
              <w:right w:type="dxa" w:w="200"/>
            </w:tcMar>
          </w:tcPr>
          <w:p>
            <w:pPr>
              <w:spacing w:after="140" w:line="300"/>
            </w:pPr>
            <w:r>
              <w:rPr>
                <w:rFonts w:ascii="Arial" w:cs="Arial" w:eastAsia="Arial" w:hAnsi="Arial"/>
                <w:b/>
                <w:bCs/>
                <w:color w:val="1F2937"/>
                <w:sz w:val="22"/>
                <w:szCs w:val="22"/>
              </w:rPr>
              <w:t xml:space="preserve">A note on the evidence behind the elbow position.</w:t>
            </w:r>
          </w:p>
          <w:p>
            <w:pPr>
              <w:spacing w:after="140" w:line="300"/>
            </w:pPr>
            <w:r>
              <w:rPr>
                <w:rFonts w:ascii="Arial" w:cs="Arial" w:eastAsia="Arial" w:hAnsi="Arial"/>
                <w:color w:val="1F2937"/>
                <w:sz w:val="22"/>
                <w:szCs w:val="22"/>
              </w:rPr>
              <w:t xml:space="preserve">The 45-degree guidance is widespread, but a 2024 musculoskeletal-modelling study noted that most of the literature on bench press injury is clinical expert opinion rather than biomechanical evidence, and that some of the published theories contradict each other — including on whether the shoulder blades should be held back throughout. [10] We have written the conventional guidance, and we would value your view on whether it is the right thing to tell a beginner.</w:t>
            </w:r>
          </w:p>
        </w:tc>
      </w:tr>
    </w:tbl>
    <w:p>
      <w:pPr>
        <w:spacing w:after="140" w:before="160"/>
      </w:pPr>
      <w:r>
        <w:rPr>
          <w:rFonts w:ascii="Arial" w:cs="Arial" w:eastAsia="Arial" w:hAnsi="Arial"/>
          <w:b/>
          <w:bCs/>
          <w:color w:val="1F2937"/>
          <w:sz w:val="22"/>
          <w:szCs w:val="22"/>
        </w:rPr>
        <w:t xml:space="preserve">Our question for you: </w:t>
      </w:r>
      <w:r>
        <w:rPr>
          <w:rFonts w:ascii="Arial" w:cs="Arial" w:eastAsia="Arial" w:hAnsi="Arial"/>
          <w:color w:val="1F2937"/>
          <w:sz w:val="22"/>
          <w:szCs w:val="22"/>
        </w:rPr>
        <w:t xml:space="preserve">Is the 45-degree elbow cue appropriate for a general population, or is there a simpler instruction you would prefer?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3. Front Raise</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as part of a front raise and lateral raise superset.</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Standard technique, but we found no specific evidence to cite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Front of the shoulder (anterior deltoid).</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General adult population.</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Current shoulder pain on raising the arm forward.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Anyone who feels a pinch at the top of the shoulder as the arm rises.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Standing, a light dumbbell in each hand resting against the front of the thighs, palms facing the body.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Raise one or both arms forward to shoulder height with a slight bend in the elbow. Lower slowly.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Swinging the body to lift the weight; raising above shoulder height; shrugging.</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Lighter weight or no weight; raise to a lower height.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Slower lowering; pause at the top.</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Pain or pinching at the top or front of the shoulder.</w:t>
            </w:r>
          </w:p>
        </w:tc>
      </w:tr>
    </w:tbl>
    <w:p>
      <w:pPr>
        <w:spacing w:after="140" w:before="160"/>
      </w:pPr>
      <w:r>
        <w:rPr>
          <w:rFonts w:ascii="Arial" w:cs="Arial" w:eastAsia="Arial" w:hAnsi="Arial"/>
          <w:b/>
          <w:bCs/>
          <w:color w:val="1F2937"/>
          <w:sz w:val="22"/>
          <w:szCs w:val="22"/>
        </w:rPr>
        <w:t xml:space="preserve">Our question for you: </w:t>
      </w:r>
      <w:r>
        <w:rPr>
          <w:rFonts w:ascii="Arial" w:cs="Arial" w:eastAsia="Arial" w:hAnsi="Arial"/>
          <w:color w:val="1F2937"/>
          <w:sz w:val="22"/>
          <w:szCs w:val="22"/>
        </w:rPr>
        <w:t xml:space="preserve">Is “to shoulder height” the right ceiling to set by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4. Lateral Raise</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as part of a front raise and lateral raise superset.</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Standard technique, but we found no specific evidence to cite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Side of the shoulder (lateral deltoid).</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General adult population.</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Current shoulder pain on raising the arm to the side.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Anyone who feels a pinch at the top of the shoulder part-way through the raise.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Standing, a light dumbbell in each hand at the sides, palms facing in.</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Raise the arms out to the sides to shoulder height, leading with the elbows and keeping a slight bend. Lower slowly.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Swinging; lifting above shoulder height; the shoulders rising towards the ears.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Lighter weight; raise one arm at a time; reduce the height.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Slower lowering phase; brief hold at the top.</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Pain or a pinching sensation at the top of the shoulder.</w:t>
            </w:r>
          </w:p>
        </w:tc>
      </w:tr>
    </w:tbl>
    <w:p>
      <w:pPr>
        <w:spacing w:after="140" w:before="160"/>
      </w:pPr>
      <w:r>
        <w:rPr>
          <w:rFonts w:ascii="Arial" w:cs="Arial" w:eastAsia="Arial" w:hAnsi="Arial"/>
          <w:b/>
          <w:bCs/>
          <w:color w:val="1F2937"/>
          <w:sz w:val="22"/>
          <w:szCs w:val="22"/>
        </w:rPr>
        <w:t xml:space="preserve">Our question for you: </w:t>
      </w:r>
      <w:r>
        <w:rPr>
          <w:rFonts w:ascii="Arial" w:cs="Arial" w:eastAsia="Arial" w:hAnsi="Arial"/>
          <w:color w:val="1F2937"/>
          <w:sz w:val="22"/>
          <w:szCs w:val="22"/>
        </w:rPr>
        <w:t xml:space="preserve">Should this and the front raise be offered together as a superset to a beginner, or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5. Hammer Curl</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alone and paired with an overhead tricep extension.</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Standard technique; no specific evidence found to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Elbow flexors, including brachialis and brachioradialis.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General adult population.</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Acute elbow or wrist injury.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Lateral or medial elbow pain.</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Standing, a dumbbell in each hand at the sides, palms facing each other.</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Bend the elbows to bring the weights towards the shoulders, keeping the palms facing each other and the upper arms still. Lower slowly.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Swinging the body; the elbows drifting forward; the wrists bending.</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Lighter weight; one arm at a time.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Slower lowering phase.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Pain at the elbow or wrist.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6. EZ Bar Curl</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gym days, sometimes written as “EZ Bar or Cable Curl”.</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Standard technique; no specific evidence found to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Biceps strength.</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Adults with access to an EZ bar.</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Acute elbow or wrist injury.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Wrist discomfort, which is sometimes why an EZ bar is chosen over a straight bar.</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Standing, holding the angled grips of the bar with the arms straight in front of the thighs.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Bend the elbows to bring the bar towards the upper chest, keeping the upper arms still. Lower slowly to straight arms.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Leaning back to lift the bar; elbows moving forward; partial lowering.</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Lighter load.</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Slower lowering phase.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Pain at the elbow or wrist.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7. Cable Curl</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gym days, as an alternative to the EZ bar curl and in supersets.</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Standard technique; no specific evidence found to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Biceps strength, with constant tension through the range.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Adults with access to a cable machine.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Acute elbow or wrist injury.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Elbow pain.</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Standing facing a low cable pulley, holding the bar or handle with arms straight.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Bend the elbows to bring the handle towards the chest, keeping the upper arms still. Lower slowly.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Leaning back; elbows drifting forward.</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Reduce the weight on the stack.</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Slower lowering phase.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Pain at the elbow or wrist.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8. Plank to Push-Up</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core blocks.</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on technique. We found no specific evidence to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Trunk stability under changing load, with shoulder and triceps work.</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Adults already comfortable holding a forearm plank.</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Wrist injury or shoulder pain on weight-bearing.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Lower back pain, since the hips tend to rotate as the person moves between positions.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 forearm plank: elbows under the shoulders, body in a straight line.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Place one hand then the other flat on the floor to press up into a straight-arm plank, then lower back to the forearms one arm at a time. Alternate the leading arm.</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The hips rocking side to side; the lower back sagging; the hips piking up.</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Perform it from the knees; widen the feet for a steadier base.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Narrow the feet; slow the transitions.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Lower back pain, or wrist or shoulder pain on bearing weight.</w:t>
            </w:r>
          </w:p>
        </w:tc>
      </w:tr>
    </w:tbl>
    <w:p>
      <w:pPr>
        <w:spacing w:after="140" w:before="160"/>
      </w:pPr>
      <w:r>
        <w:rPr>
          <w:rFonts w:ascii="Arial" w:cs="Arial" w:eastAsia="Arial" w:hAnsi="Arial"/>
          <w:b/>
          <w:bCs/>
          <w:color w:val="1F2937"/>
          <w:sz w:val="22"/>
          <w:szCs w:val="22"/>
        </w:rPr>
        <w:t xml:space="preserve">Our question for you: </w:t>
      </w:r>
      <w:r>
        <w:rPr>
          <w:rFonts w:ascii="Arial" w:cs="Arial" w:eastAsia="Arial" w:hAnsi="Arial"/>
          <w:color w:val="1F2937"/>
          <w:sz w:val="22"/>
          <w:szCs w:val="22"/>
        </w:rPr>
        <w:t xml:space="preserve">Is this appropriate in a general programme, or should it sit behind a plank competence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2"/>
        <w:spacing w:after="120" w:before="260"/>
      </w:pPr>
      <w:r>
        <w:rPr>
          <w:rFonts w:ascii="Arial" w:cs="Arial" w:eastAsia="Arial" w:hAnsi="Arial"/>
          <w:b/>
          <w:bCs/>
          <w:color w:val="1F2937"/>
          <w:sz w:val="26"/>
          <w:szCs w:val="26"/>
        </w:rPr>
        <w:t xml:space="preserve">9. Bear Hold</w:t>
      </w:r>
    </w:p>
    <w:p>
      <w:pPr>
        <w:spacing w:after="140" w:line="300"/>
      </w:pPr>
      <w:r>
        <w:rPr>
          <w:rFonts w:ascii="Arial" w:cs="Arial" w:eastAsia="Arial" w:hAnsi="Arial"/>
          <w:b/>
          <w:bCs/>
          <w:color w:val="1F2937"/>
          <w:sz w:val="22"/>
          <w:szCs w:val="22"/>
        </w:rPr>
        <w:t xml:space="preserve">Where it appears: </w:t>
      </w:r>
      <w:r>
        <w:rPr>
          <w:rFonts w:ascii="Arial" w:cs="Arial" w:eastAsia="Arial" w:hAnsi="Arial"/>
          <w:color w:val="1F2937"/>
          <w:sz w:val="22"/>
          <w:szCs w:val="22"/>
        </w:rPr>
        <w:t xml:space="preserve">Morning programme, core blocks.</w:t>
      </w:r>
    </w:p>
    <w:p>
      <w:pPr>
        <w:spacing w:after="140" w:line="300"/>
      </w:pPr>
      <w:r>
        <w:rPr>
          <w:rFonts w:ascii="Arial" w:cs="Arial" w:eastAsia="Arial" w:hAnsi="Arial"/>
          <w:b/>
          <w:bCs/>
          <w:color w:val="1F2937"/>
          <w:sz w:val="22"/>
          <w:szCs w:val="22"/>
        </w:rPr>
        <w:t xml:space="preserve">Our confidence in this draft: </w:t>
      </w:r>
      <w:r>
        <w:rPr>
          <w:rFonts w:ascii="Arial" w:cs="Arial" w:eastAsia="Arial" w:hAnsi="Arial"/>
          <w:color w:val="1F2937"/>
          <w:sz w:val="22"/>
          <w:szCs w:val="22"/>
        </w:rPr>
        <w:t xml:space="preserve">Moderate on technique. We found no specific evidence to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Audit area</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Our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Indication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Anterior trunk and shoulder stability, low load.</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Population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General adult population, including beginners.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Contraindications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Wrist injury; knee pain in a four-point kneeling position. [Draft.]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Precautions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Wrist discomfort on weight-bearing.</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Starting position</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On hands and knees: hands under the shoulders, knees under the hips, toes tucked under.</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Technique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Lift the knees about 5 cm from the floor and hold, keeping the back flat and breathing steadily.</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Watch for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Holding the breath; the back rounding or sagging; the hips lifting high.</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Ease off</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Shorter holds; knees down between holds.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Go further</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Longer holds; slow alternating shoulder taps.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Stop criteria</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Wrist pain, or pain in the lower back.</w:t>
            </w:r>
          </w:p>
        </w:tc>
      </w:tr>
    </w:tbl>
    <w:p>
      <w:pPr>
        <w:spacing w:after="140" w:before="160"/>
      </w:pPr>
      <w:r>
        <w:rPr>
          <w:rFonts w:ascii="Arial" w:cs="Arial" w:eastAsia="Arial" w:hAnsi="Arial"/>
          <w:b/>
          <w:bCs/>
          <w:color w:val="1F2937"/>
          <w:sz w:val="22"/>
          <w:szCs w:val="22"/>
        </w:rPr>
        <w:t xml:space="preserve">Our question for you: </w:t>
      </w:r>
      <w:r>
        <w:rPr>
          <w:rFonts w:ascii="Arial" w:cs="Arial" w:eastAsia="Arial" w:hAnsi="Arial"/>
          <w:color w:val="1F2937"/>
          <w:sz w:val="22"/>
          <w:szCs w:val="22"/>
        </w:rPr>
        <w:t xml:space="preserve">Is this suitable as a beginner’s trunk exercise, which is how the programme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Your decision</w:t>
            </w:r>
          </w:p>
        </w:tc>
        <w:tc>
          <w:tcPr>
            <w:tcW w:type="dxa" w:w="7238"/>
            <w:tcBorders>
              <w:top w:val="single" w:color="9CA3AF" w:sz="4"/>
              <w:left w:val="single" w:color="9CA3AF" w:sz="4"/>
              <w:bottom w:val="single" w:color="9CA3AF" w:sz="4"/>
              <w:right w:val="single" w:color="9CA3AF" w:sz="4"/>
            </w:tcBorders>
            <w:shd w:fill="E5E7EB" w:color="auto" w:val="clear"/>
            <w:tcMar>
              <w:top w:type="dxa" w:w="90"/>
              <w:left w:type="dxa" w:w="120"/>
              <w:bottom w:type="dxa" w:w="90"/>
              <w:right w:type="dxa" w:w="120"/>
            </w:tcMar>
          </w:tcPr>
          <w:p>
            <w:pPr>
              <w:spacing w:after="60" w:line="276"/>
            </w:pPr>
            <w:r>
              <w:rPr>
                <w:rFonts w:ascii="Arial" w:cs="Arial" w:eastAsia="Arial" w:hAnsi="Arial"/>
                <w:b/>
                <w:bCs/>
                <w:color w:val="1F2937"/>
                <w:sz w:val="22"/>
                <w:szCs w:val="22"/>
              </w:rPr>
              <w:t xml:space="preserve">Tick one, and add anything you want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as drafted</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Accept with changes</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Changes:</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Replace with another exercise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Suggested replacement:</w:t>
            </w:r>
          </w:p>
        </w:tc>
      </w:tr>
      <w:tr>
        <w:tc>
          <w:tcPr>
            <w:tcW w:type="dxa" w:w="2400"/>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Remove from the programme</w:t>
            </w:r>
          </w:p>
        </w:tc>
        <w:tc>
          <w:tcPr>
            <w:tcW w:type="dxa" w:w="7238"/>
            <w:tcBorders>
              <w:top w:val="single" w:color="9CA3AF" w:sz="4"/>
              <w:left w:val="single" w:color="9CA3AF" w:sz="4"/>
              <w:bottom w:val="single" w:color="9CA3AF" w:sz="4"/>
              <w:right w:val="single" w:color="9CA3AF" w:sz="4"/>
            </w:tcBorders>
            <w:tcMar>
              <w:top w:type="dxa" w:w="90"/>
              <w:left w:type="dxa" w:w="120"/>
              <w:bottom w:type="dxa" w:w="90"/>
              <w:right w:type="dxa" w:w="120"/>
            </w:tcMar>
          </w:tcPr>
          <w:p>
            <w:pPr>
              <w:spacing w:after="60" w:line="276"/>
            </w:pPr>
            <w:r>
              <w:rPr>
                <w:rFonts w:ascii="Arial" w:cs="Arial" w:eastAsia="Arial" w:hAnsi="Arial"/>
                <w:color w:val="1F2937"/>
                <w:sz w:val="22"/>
                <w:szCs w:val="22"/>
              </w:rPr>
              <w:t xml:space="preserve">☐  Reason:</w:t>
            </w:r>
          </w:p>
        </w:tc>
      </w:tr>
    </w:tbl>
    <w:p>
      <w:pPr>
        <w:pStyle w:val="Heading1"/>
        <w:spacing w:after="160" w:before="320"/>
      </w:pPr>
      <w:r>
        <w:rPr>
          <w:rFonts w:ascii="Arial" w:cs="Arial" w:eastAsia="Arial" w:hAnsi="Arial"/>
          <w:b/>
          <w:bCs/>
          <w:color w:val="1F2937"/>
          <w:sz w:val="32"/>
          <w:szCs w:val="32"/>
        </w:rPr>
        <w:t xml:space="preserve">What we have deliberately not sent you</w:t>
      </w:r>
    </w:p>
    <w:p>
      <w:pPr>
        <w:spacing w:after="140" w:line="300"/>
      </w:pPr>
      <w:r>
        <w:rPr>
          <w:rFonts w:ascii="Arial" w:cs="Arial" w:eastAsia="Arial" w:hAnsi="Arial"/>
          <w:b/>
          <w:bCs/>
          <w:color w:val="1F2937"/>
          <w:sz w:val="22"/>
          <w:szCs w:val="22"/>
        </w:rPr>
        <w:t xml:space="preserve">The 19 supersets and circuits. </w:t>
      </w:r>
      <w:r>
        <w:rPr>
          <w:rFonts w:ascii="Arial" w:cs="Arial" w:eastAsia="Arial" w:hAnsi="Arial"/>
          <w:color w:val="1F2937"/>
          <w:sz w:val="22"/>
          <w:szCs w:val="22"/>
        </w:rPr>
        <w:t xml:space="preserve">Each is two exercises paired together, and both halves are exercises the library already describes. When one appears, the app currently shows no instructions rather than show one exercise’s instructions on a screen that describes two. If you think pairing any of them is inappropriate for a beginner, we would like to know — but we are not asking you to review them one by one.</w:t>
      </w:r>
    </w:p>
    <w:p>
      <w:pPr>
        <w:spacing w:after="140" w:line="300"/>
      </w:pPr>
      <w:r>
        <w:rPr>
          <w:rFonts w:ascii="Arial" w:cs="Arial" w:eastAsia="Arial" w:hAnsi="Arial"/>
          <w:b/>
          <w:bCs/>
          <w:color w:val="1F2937"/>
          <w:sz w:val="22"/>
          <w:szCs w:val="22"/>
        </w:rPr>
        <w:t xml:space="preserve">The 162 exercises that now match. </w:t>
      </w:r>
      <w:r>
        <w:rPr>
          <w:rFonts w:ascii="Arial" w:cs="Arial" w:eastAsia="Arial" w:hAnsi="Arial"/>
          <w:color w:val="1F2937"/>
          <w:sz w:val="22"/>
          <w:szCs w:val="22"/>
        </w:rPr>
        <w:t xml:space="preserve">Those descriptions were already in the library before this work. They fall under the 95-exercise audit from August, not this pack.</w:t>
      </w:r>
    </w:p>
    <w:p>
      <w:pPr>
        <w:pStyle w:val="Heading1"/>
        <w:spacing w:after="160" w:before="320"/>
      </w:pPr>
      <w:r>
        <w:rPr>
          <w:rFonts w:ascii="Arial" w:cs="Arial" w:eastAsia="Arial" w:hAnsi="Arial"/>
          <w:b/>
          <w:bCs/>
          <w:color w:val="1F2937"/>
          <w:sz w:val="32"/>
          <w:szCs w:val="32"/>
        </w:rPr>
        <w:t xml:space="preserve">References</w:t>
      </w:r>
    </w:p>
    <w:p>
      <w:pPr>
        <w:spacing w:after="140" w:line="300"/>
      </w:pPr>
      <w:r>
        <w:rPr>
          <w:rFonts w:ascii="Arial" w:cs="Arial" w:eastAsia="Arial" w:hAnsi="Arial"/>
          <w:i/>
          <w:iCs/>
          <w:color w:val="1F2937"/>
          <w:sz w:val="22"/>
          <w:szCs w:val="22"/>
        </w:rPr>
        <w:t xml:space="preserve">Every reference below was retrieved and its abstract or summary read. None has been critically appraised by us. Reference 5 is included because it matters to the argument, but we have only seen it cited.</w:t>
      </w:r>
    </w:p>
    <w:p>
      <w:pPr>
        <w:spacing w:after="140" w:line="290"/>
      </w:pPr>
      <w:r>
        <w:rPr>
          <w:rFonts w:ascii="Arial" w:cs="Arial" w:eastAsia="Arial" w:hAnsi="Arial"/>
          <w:b/>
          <w:bCs/>
          <w:color w:val="1F2937"/>
          <w:sz w:val="22"/>
          <w:szCs w:val="22"/>
        </w:rPr>
        <w:t xml:space="preserve">[1]  </w:t>
      </w:r>
      <w:r>
        <w:rPr>
          <w:rFonts w:ascii="Arial" w:cs="Arial" w:eastAsia="Arial" w:hAnsi="Arial"/>
          <w:color w:val="1F2937"/>
          <w:sz w:val="22"/>
          <w:szCs w:val="22"/>
        </w:rPr>
        <w:t xml:space="preserve">National Institute for Health and Care Excellence. Low back pain and sciatica in over 16s: assessment and management (NG59). Published 30 November 2016; last updated 29 July 2026. </w:t>
      </w:r>
      <w:hyperlink w:history="1" r:id="rId894jw5pjj9jx3vb-uxkkc">
        <w:r>
          <w:rPr>
            <w:rFonts w:ascii="Arial" w:cs="Arial" w:eastAsia="Arial" w:hAnsi="Arial"/>
            <w:color w:val="1D4ED8"/>
            <w:sz w:val="22"/>
            <w:szCs w:val="22"/>
            <w:u w:val="single"/>
          </w:rPr>
          <w:t xml:space="preserve">https://www.nice.org.uk/guidance/ng59/chapter/recommendations</w:t>
        </w:r>
      </w:hyperlink>
    </w:p>
    <w:p>
      <w:pPr>
        <w:spacing w:after="140" w:line="290"/>
      </w:pPr>
      <w:r>
        <w:rPr>
          <w:rFonts w:ascii="Arial" w:cs="Arial" w:eastAsia="Arial" w:hAnsi="Arial"/>
          <w:b/>
          <w:bCs/>
          <w:color w:val="1F2937"/>
          <w:sz w:val="22"/>
          <w:szCs w:val="22"/>
        </w:rPr>
        <w:t xml:space="preserve">[2]  </w:t>
      </w:r>
      <w:r>
        <w:rPr>
          <w:rFonts w:ascii="Arial" w:cs="Arial" w:eastAsia="Arial" w:hAnsi="Arial"/>
          <w:color w:val="1F2937"/>
          <w:sz w:val="22"/>
          <w:szCs w:val="22"/>
        </w:rPr>
        <w:t xml:space="preserve">de Jesus FLA, Fukuda TY, Souza C, et al. Addition of specific hip strengthening exercises to conventional rehabilitation therapy for low back pain: a systematic review and meta-analysis. Clinical Rehabilitation. 2020;34(11):1368–1377. </w:t>
      </w:r>
      <w:hyperlink w:history="1" r:id="rIdvk9fxhjflly75fychycos">
        <w:r>
          <w:rPr>
            <w:rFonts w:ascii="Arial" w:cs="Arial" w:eastAsia="Arial" w:hAnsi="Arial"/>
            <w:color w:val="1D4ED8"/>
            <w:sz w:val="22"/>
            <w:szCs w:val="22"/>
            <w:u w:val="single"/>
          </w:rPr>
          <w:t xml:space="preserve">https://doi.org/10.1177/0269215520941914</w:t>
        </w:r>
      </w:hyperlink>
    </w:p>
    <w:p>
      <w:pPr>
        <w:spacing w:after="140" w:line="290"/>
      </w:pPr>
      <w:r>
        <w:rPr>
          <w:rFonts w:ascii="Arial" w:cs="Arial" w:eastAsia="Arial" w:hAnsi="Arial"/>
          <w:b/>
          <w:bCs/>
          <w:color w:val="1F2937"/>
          <w:sz w:val="22"/>
          <w:szCs w:val="22"/>
        </w:rPr>
        <w:t xml:space="preserve">[3]  </w:t>
      </w:r>
      <w:r>
        <w:rPr>
          <w:rFonts w:ascii="Arial" w:cs="Arial" w:eastAsia="Arial" w:hAnsi="Arial"/>
          <w:color w:val="1F2937"/>
          <w:sz w:val="22"/>
          <w:szCs w:val="22"/>
        </w:rPr>
        <w:t xml:space="preserve">The effectiveness of hip interventions in patients with low-back pain: a systematic review and meta-analysis. Brazilian Journal of Physical Therapy. 2023. PROSPERO CRD42022303173. </w:t>
      </w:r>
      <w:hyperlink w:history="1" r:id="rIdvpoot4r5ykplxv8rsyxuq">
        <w:r>
          <w:rPr>
            <w:rFonts w:ascii="Arial" w:cs="Arial" w:eastAsia="Arial" w:hAnsi="Arial"/>
            <w:color w:val="1D4ED8"/>
            <w:sz w:val="22"/>
            <w:szCs w:val="22"/>
            <w:u w:val="single"/>
          </w:rPr>
          <w:t xml:space="preserve">https://pubmed.ncbi.nlm.nih.gov/37037144/</w:t>
        </w:r>
      </w:hyperlink>
    </w:p>
    <w:p>
      <w:pPr>
        <w:spacing w:after="140" w:line="290"/>
      </w:pPr>
      <w:r>
        <w:rPr>
          <w:rFonts w:ascii="Arial" w:cs="Arial" w:eastAsia="Arial" w:hAnsi="Arial"/>
          <w:b/>
          <w:bCs/>
          <w:color w:val="1F2937"/>
          <w:sz w:val="22"/>
          <w:szCs w:val="22"/>
        </w:rPr>
        <w:t xml:space="preserve">[4]  </w:t>
      </w:r>
      <w:r>
        <w:rPr>
          <w:rFonts w:ascii="Arial" w:cs="Arial" w:eastAsia="Arial" w:hAnsi="Arial"/>
          <w:color w:val="1F2937"/>
          <w:sz w:val="22"/>
          <w:szCs w:val="22"/>
        </w:rPr>
        <w:t xml:space="preserve">Efficacy of hip strengthening on pain intensity, disability, and strength in musculoskeletal conditions of the trunk and lower limbs: a systematic review with meta-analysis and GRADE recommendations. 2022. </w:t>
      </w:r>
      <w:hyperlink w:history="1" r:id="rIdsjoz9-dey03m5wp_dagc4">
        <w:r>
          <w:rPr>
            <w:rFonts w:ascii="Arial" w:cs="Arial" w:eastAsia="Arial" w:hAnsi="Arial"/>
            <w:color w:val="1D4ED8"/>
            <w:sz w:val="22"/>
            <w:szCs w:val="22"/>
            <w:u w:val="single"/>
          </w:rPr>
          <w:t xml:space="preserve">https://www.ncbi.nlm.nih.gov/pmc/articles/PMC9776732/</w:t>
        </w:r>
      </w:hyperlink>
    </w:p>
    <w:p>
      <w:pPr>
        <w:spacing w:after="140" w:line="290"/>
      </w:pPr>
      <w:r>
        <w:rPr>
          <w:rFonts w:ascii="Arial" w:cs="Arial" w:eastAsia="Arial" w:hAnsi="Arial"/>
          <w:b/>
          <w:bCs/>
          <w:color w:val="1F2937"/>
          <w:sz w:val="22"/>
          <w:szCs w:val="22"/>
        </w:rPr>
        <w:t xml:space="preserve">[5]  </w:t>
      </w:r>
      <w:r>
        <w:rPr>
          <w:rFonts w:ascii="Arial" w:cs="Arial" w:eastAsia="Arial" w:hAnsi="Arial"/>
          <w:color w:val="1F2937"/>
          <w:sz w:val="22"/>
          <w:szCs w:val="22"/>
        </w:rPr>
        <w:t xml:space="preserve">Burns SA, Cleland JA, Rivett DA, et al. When treating coexisting low back pain and hip impairments, focus on the back: adding specific hip treatment does not yield additional benefits — a randomized controlled trial. Cited in [3]; not read in full by us. </w:t>
      </w:r>
    </w:p>
    <w:p>
      <w:pPr>
        <w:spacing w:after="140" w:line="290"/>
      </w:pPr>
      <w:r>
        <w:rPr>
          <w:rFonts w:ascii="Arial" w:cs="Arial" w:eastAsia="Arial" w:hAnsi="Arial"/>
          <w:b/>
          <w:bCs/>
          <w:color w:val="1F2937"/>
          <w:sz w:val="22"/>
          <w:szCs w:val="22"/>
        </w:rPr>
        <w:t xml:space="preserve">[6]  </w:t>
      </w:r>
      <w:r>
        <w:rPr>
          <w:rFonts w:ascii="Arial" w:cs="Arial" w:eastAsia="Arial" w:hAnsi="Arial"/>
          <w:color w:val="1F2937"/>
          <w:sz w:val="22"/>
          <w:szCs w:val="22"/>
        </w:rPr>
        <w:t xml:space="preserve">Posterior-chain resistance training compared to general exercise and walking programmes for the treatment of chronic low back pain in the general population: a systematic review and meta-analysis. PROSPERO CRD42020155700. </w:t>
      </w:r>
      <w:hyperlink w:history="1" r:id="rIdazmfhy2b_jdqc3u6l59cu">
        <w:r>
          <w:rPr>
            <w:rFonts w:ascii="Arial" w:cs="Arial" w:eastAsia="Arial" w:hAnsi="Arial"/>
            <w:color w:val="1D4ED8"/>
            <w:sz w:val="22"/>
            <w:szCs w:val="22"/>
            <w:u w:val="single"/>
          </w:rPr>
          <w:t xml:space="preserve">https://www.ncbi.nlm.nih.gov/pmc/articles/PMC7940464/</w:t>
        </w:r>
      </w:hyperlink>
    </w:p>
    <w:p>
      <w:pPr>
        <w:spacing w:after="140" w:line="290"/>
      </w:pPr>
      <w:r>
        <w:rPr>
          <w:rFonts w:ascii="Arial" w:cs="Arial" w:eastAsia="Arial" w:hAnsi="Arial"/>
          <w:b/>
          <w:bCs/>
          <w:color w:val="1F2937"/>
          <w:sz w:val="22"/>
          <w:szCs w:val="22"/>
        </w:rPr>
        <w:t xml:space="preserve">[7]  </w:t>
      </w:r>
      <w:r>
        <w:rPr>
          <w:rFonts w:ascii="Arial" w:cs="Arial" w:eastAsia="Arial" w:hAnsi="Arial"/>
          <w:color w:val="1F2937"/>
          <w:sz w:val="22"/>
          <w:szCs w:val="22"/>
        </w:rPr>
        <w:t xml:space="preserve">Effectiveness of exercise in rotator cuff-related shoulder pain: a systematic review with meta-analysis. Physiotherapy Theory and Practice. 17 August 2026. </w:t>
      </w:r>
      <w:hyperlink w:history="1" r:id="rIdrqeddrjunlo1bu_fyyba5">
        <w:r>
          <w:rPr>
            <w:rFonts w:ascii="Arial" w:cs="Arial" w:eastAsia="Arial" w:hAnsi="Arial"/>
            <w:color w:val="1D4ED8"/>
            <w:sz w:val="22"/>
            <w:szCs w:val="22"/>
            <w:u w:val="single"/>
          </w:rPr>
          <w:t xml:space="preserve">https://pubmed.ncbi.nlm.nih.gov/42609059/</w:t>
        </w:r>
      </w:hyperlink>
    </w:p>
    <w:p>
      <w:pPr>
        <w:spacing w:after="140" w:line="290"/>
      </w:pPr>
      <w:r>
        <w:rPr>
          <w:rFonts w:ascii="Arial" w:cs="Arial" w:eastAsia="Arial" w:hAnsi="Arial"/>
          <w:b/>
          <w:bCs/>
          <w:color w:val="1F2937"/>
          <w:sz w:val="22"/>
          <w:szCs w:val="22"/>
        </w:rPr>
        <w:t xml:space="preserve">[8]  </w:t>
      </w:r>
      <w:r>
        <w:rPr>
          <w:rFonts w:ascii="Arial" w:cs="Arial" w:eastAsia="Arial" w:hAnsi="Arial"/>
          <w:color w:val="1F2937"/>
          <w:sz w:val="22"/>
          <w:szCs w:val="22"/>
        </w:rPr>
        <w:t xml:space="preserve">Painful considerations in exercise-management for rotator cuff related shoulder pain: a scoping review on pain-related prescription parameters. </w:t>
      </w:r>
      <w:hyperlink w:history="1" r:id="rId1c1eugc42wtzj21fb26hu">
        <w:r>
          <w:rPr>
            <w:rFonts w:ascii="Arial" w:cs="Arial" w:eastAsia="Arial" w:hAnsi="Arial"/>
            <w:color w:val="1D4ED8"/>
            <w:sz w:val="22"/>
            <w:szCs w:val="22"/>
            <w:u w:val="single"/>
          </w:rPr>
          <w:t xml:space="preserve">https://www.ncbi.nlm.nih.gov/pmc/articles/PMC11846222/</w:t>
        </w:r>
      </w:hyperlink>
    </w:p>
    <w:p>
      <w:pPr>
        <w:spacing w:after="140" w:line="290"/>
      </w:pPr>
      <w:r>
        <w:rPr>
          <w:rFonts w:ascii="Arial" w:cs="Arial" w:eastAsia="Arial" w:hAnsi="Arial"/>
          <w:b/>
          <w:bCs/>
          <w:color w:val="1F2937"/>
          <w:sz w:val="22"/>
          <w:szCs w:val="22"/>
        </w:rPr>
        <w:t xml:space="preserve">[9]  </w:t>
      </w:r>
      <w:r>
        <w:rPr>
          <w:rFonts w:ascii="Arial" w:cs="Arial" w:eastAsia="Arial" w:hAnsi="Arial"/>
          <w:color w:val="1F2937"/>
          <w:sz w:val="22"/>
          <w:szCs w:val="22"/>
        </w:rPr>
        <w:t xml:space="preserve">Bench, bar, and ring dips: do kinematics and muscle activity differ? International Journal of Environmental Research and Public Health. 2022;19(20):13211. </w:t>
      </w:r>
      <w:hyperlink w:history="1" r:id="rId4vw9xpwwwsszsmdrx0dye">
        <w:r>
          <w:rPr>
            <w:rFonts w:ascii="Arial" w:cs="Arial" w:eastAsia="Arial" w:hAnsi="Arial"/>
            <w:color w:val="1D4ED8"/>
            <w:sz w:val="22"/>
            <w:szCs w:val="22"/>
            <w:u w:val="single"/>
          </w:rPr>
          <w:t xml:space="preserve">https://www.ncbi.nlm.nih.gov/pmc/articles/PMC9603242/</w:t>
        </w:r>
      </w:hyperlink>
    </w:p>
    <w:p>
      <w:pPr>
        <w:spacing w:after="140" w:line="290"/>
      </w:pPr>
      <w:r>
        <w:rPr>
          <w:rFonts w:ascii="Arial" w:cs="Arial" w:eastAsia="Arial" w:hAnsi="Arial"/>
          <w:b/>
          <w:bCs/>
          <w:color w:val="1F2937"/>
          <w:sz w:val="22"/>
          <w:szCs w:val="22"/>
        </w:rPr>
        <w:t xml:space="preserve">[10]  </w:t>
      </w:r>
      <w:r>
        <w:rPr>
          <w:rFonts w:ascii="Arial" w:cs="Arial" w:eastAsia="Arial" w:hAnsi="Arial"/>
          <w:color w:val="1F2937"/>
          <w:sz w:val="22"/>
          <w:szCs w:val="22"/>
        </w:rPr>
        <w:t xml:space="preserve">Effects of bench press technique variations on musculoskeletal shoulder loads and potential injury risk. 2024. </w:t>
      </w:r>
      <w:hyperlink w:history="1" r:id="rIdrs35ujcxbzr3zqsqxlhnh">
        <w:r>
          <w:rPr>
            <w:rFonts w:ascii="Arial" w:cs="Arial" w:eastAsia="Arial" w:hAnsi="Arial"/>
            <w:color w:val="1D4ED8"/>
            <w:sz w:val="22"/>
            <w:szCs w:val="22"/>
            <w:u w:val="single"/>
          </w:rPr>
          <w:t xml:space="preserve">https://pmc.ncbi.nlm.nih.gov/articles/PMC11224528/</w:t>
        </w:r>
      </w:hyperlink>
    </w:p>
    <w:p>
      <w:pPr>
        <w:spacing w:after="120"/>
      </w:pPr>
      <w:r>
        <w:rPr>
          <w:rFonts w:ascii="Arial" w:cs="Arial" w:eastAsia="Arial" w:hAnsi="Arial"/>
          <w:color w:val="1F2937"/>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A3AF" w:sz="4"/>
              <w:left w:val="single" w:color="9CA3AF" w:sz="4"/>
              <w:bottom w:val="single" w:color="9CA3AF" w:sz="4"/>
              <w:right w:val="single" w:color="9CA3AF" w:sz="4"/>
            </w:tcBorders>
            <w:shd w:fill="F3F4F6" w:color="auto" w:val="clear"/>
            <w:tcMar>
              <w:top w:type="dxa" w:w="140"/>
              <w:left w:type="dxa" w:w="200"/>
              <w:bottom w:type="dxa" w:w="140"/>
              <w:right w:type="dxa" w:w="200"/>
            </w:tcMar>
          </w:tcPr>
          <w:p>
            <w:pPr>
              <w:spacing w:after="140" w:line="300"/>
            </w:pPr>
            <w:r>
              <w:rPr>
                <w:rFonts w:ascii="Arial" w:cs="Arial" w:eastAsia="Arial" w:hAnsi="Arial"/>
                <w:b/>
                <w:bCs/>
                <w:color w:val="1F2937"/>
                <w:sz w:val="22"/>
                <w:szCs w:val="22"/>
              </w:rPr>
              <w:t xml:space="preserve">Nothing described here ships in wording a clinician has not seen.</w:t>
            </w:r>
          </w:p>
          <w:p>
            <w:pPr>
              <w:spacing w:after="140" w:line="300"/>
            </w:pPr>
            <w:r>
              <w:rPr>
                <w:rFonts w:ascii="Arial" w:cs="Arial" w:eastAsia="Arial" w:hAnsi="Arial"/>
                <w:color w:val="1F2937"/>
                <w:sz w:val="22"/>
                <w:szCs w:val="22"/>
              </w:rPr>
              <w:t xml:space="preserve">If any of this should not be built at all, that is a useful answer, and we have cut features on safety grounds before.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Alongside: Move  ·  Clinical review follow-up  ·  16 Sep 2026 v2  ·  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94jw5pjj9jx3vb-uxkkc" Type="http://schemas.openxmlformats.org/officeDocument/2006/relationships/hyperlink" Target="https://www.nice.org.uk/guidance/ng59/chapter/recommendations" TargetMode="External"/><Relationship Id="rIdvk9fxhjflly75fychycos" Type="http://schemas.openxmlformats.org/officeDocument/2006/relationships/hyperlink" Target="https://doi.org/10.1177/0269215520941914" TargetMode="External"/><Relationship Id="rIdvpoot4r5ykplxv8rsyxuq" Type="http://schemas.openxmlformats.org/officeDocument/2006/relationships/hyperlink" Target="https://pubmed.ncbi.nlm.nih.gov/37037144/" TargetMode="External"/><Relationship Id="rIdsjoz9-dey03m5wp_dagc4" Type="http://schemas.openxmlformats.org/officeDocument/2006/relationships/hyperlink" Target="https://www.ncbi.nlm.nih.gov/pmc/articles/PMC9776732/" TargetMode="External"/><Relationship Id="rIdazmfhy2b_jdqc3u6l59cu" Type="http://schemas.openxmlformats.org/officeDocument/2006/relationships/hyperlink" Target="https://www.ncbi.nlm.nih.gov/pmc/articles/PMC7940464/" TargetMode="External"/><Relationship Id="rIdrqeddrjunlo1bu_fyyba5" Type="http://schemas.openxmlformats.org/officeDocument/2006/relationships/hyperlink" Target="https://pubmed.ncbi.nlm.nih.gov/42609059/" TargetMode="External"/><Relationship Id="rId1c1eugc42wtzj21fb26hu" Type="http://schemas.openxmlformats.org/officeDocument/2006/relationships/hyperlink" Target="https://www.ncbi.nlm.nih.gov/pmc/articles/PMC11846222/" TargetMode="External"/><Relationship Id="rId4vw9xpwwwsszsmdrx0dye" Type="http://schemas.openxmlformats.org/officeDocument/2006/relationships/hyperlink" Target="https://www.ncbi.nlm.nih.gov/pmc/articles/PMC9603242/" TargetMode="External"/><Relationship Id="rIdrs35ujcxbzr3zqsqxlhnh" Type="http://schemas.openxmlformats.org/officeDocument/2006/relationships/hyperlink" Target="https://pmc.ncbi.nlm.nih.gov/articles/PMC11224528/"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Alongside: Move — Clinical review follow-up pack — 16 Sep 2026 v2</dc:title>
  <dc:creator>Build New Habits</dc:creator>
  <dc:description>Follow-up clinical review pack: the around-it mapping, and nine exercise descriptions.</dc:description>
  <cp:lastModifiedBy>Un-named</cp:lastModifiedBy>
  <cp:revision>1</cp:revision>
  <dcterms:created xsi:type="dcterms:W3CDTF">2026-09-21T19:32:53.026Z</dcterms:created>
  <dcterms:modified xsi:type="dcterms:W3CDTF">2026-09-21T19:32:53.026Z</dcterms:modified>
</cp:coreProperties>
</file>

<file path=docProps/custom.xml><?xml version="1.0" encoding="utf-8"?>
<Properties xmlns="http://schemas.openxmlformats.org/officeDocument/2006/custom-properties" xmlns:vt="http://schemas.openxmlformats.org/officeDocument/2006/docPropsVTypes"/>
</file>