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Calibri" w:cs="Calibri" w:eastAsia="Calibri" w:hAnsi="Calibri"/>
          <w:b/>
          <w:bCs/>
          <w:color w:val="5A6B75"/>
          <w:sz w:val="20"/>
          <w:szCs w:val="20"/>
        </w:rPr>
        <w:t xml:space="preserve">Alongside: Move · Build New Habits</w:t>
      </w:r>
    </w:p>
    <w:p>
      <w:pPr>
        <w:pStyle w:val="Heading1"/>
        <w:spacing w:after="60"/>
      </w:pPr>
      <w:r>
        <w:rPr>
          <w:rFonts w:ascii="Calibri" w:cs="Calibri" w:eastAsia="Calibri" w:hAnsi="Calibri"/>
        </w:rPr>
        <w:t xml:space="preserve">In Step — content specification</w:t>
      </w:r>
    </w:p>
    <w:p>
      <w:pPr>
        <w:spacing w:after="220"/>
      </w:pPr>
      <w:r>
        <w:rPr>
          <w:rFonts w:ascii="Calibri" w:cs="Calibri" w:eastAsia="Calibri" w:hAnsi="Calibri"/>
          <w:i/>
          <w:iCs/>
          <w:color w:val="5A6B75"/>
          <w:sz w:val="21"/>
          <w:szCs w:val="21"/>
        </w:rPr>
        <w:t xml:space="preserve">03 Sep 2026 v2 — written from Graeme's answers</w:t>
      </w:r>
    </w:p>
    <w:p>
      <w:pPr>
        <w:pBdr>
          <w:bottom w:val="single" w:color="BFCAD1" w:sz="6"/>
        </w:pBdr>
        <w:spacing w:after="180" w:before="100"/>
      </w:pPr>
    </w:p>
    <w:p>
      <w:pPr>
        <w:pStyle w:val="Heading2"/>
        <w:spacing w:after="140" w:before="300"/>
      </w:pPr>
      <w:r>
        <w:rPr>
          <w:rFonts w:ascii="Calibri" w:cs="Calibri" w:eastAsia="Calibri" w:hAnsi="Calibri"/>
        </w:rPr>
        <w:t xml:space="preserve">The why</w:t>
      </w:r>
    </w:p>
    <w:p>
      <w:pPr>
        <w:spacing w:after="140"/>
      </w:pPr>
      <w:r>
        <w:rPr>
          <w:rFonts w:ascii="Calibri" w:cs="Calibri" w:eastAsia="Calibri" w:hAnsi="Calibri"/>
          <w:b/>
          <w:bCs/>
          <w:sz w:val="21"/>
          <w:szCs w:val="21"/>
        </w:rPr>
        <w:t xml:space="preserve">We have never had more ways to connect and never felt more alone. </w:t>
      </w:r>
      <w:r>
        <w:rPr>
          <w:rFonts w:ascii="Calibri" w:cs="Calibri" w:eastAsia="Calibri" w:hAnsi="Calibri"/>
          <w:sz w:val="21"/>
          <w:szCs w:val="21"/>
        </w:rPr>
        <w:t xml:space="preserve">Graeme, 3 Sep: the village became a network. Social mobility rose and tools multiplied — and with them came shortcuts that replaced the emotional part of connecting rather than easing it. So people go through their lives feeling as though they are doing it on their own.</w:t>
      </w:r>
    </w:p>
    <w:p>
      <w:pPr>
        <w:spacing w:after="140"/>
      </w:pPr>
      <w:r>
        <w:rPr>
          <w:rFonts w:ascii="Calibri" w:cs="Calibri" w:eastAsia="Calibri" w:hAnsi="Calibri"/>
          <w:sz w:val="21"/>
          <w:szCs w:val="21"/>
        </w:rPr>
        <w:t xml:space="preserve">This is why the programme belongs inside a movement app rather than beside one. Moving, slowly, with attention, is one of the few remaining things that cannot be shortcut.</w:t>
      </w:r>
    </w:p>
    <w:p>
      <w:pPr>
        <w:pStyle w:val="Heading2"/>
        <w:spacing w:after="140" w:before="300"/>
      </w:pPr>
      <w:r>
        <w:rPr>
          <w:rFonts w:ascii="Calibri" w:cs="Calibri" w:eastAsia="Calibri" w:hAnsi="Calibri"/>
        </w:rPr>
        <w:t xml:space="preserve">What it is</w:t>
      </w:r>
    </w:p>
    <w:p>
      <w:pPr>
        <w:spacing w:after="140"/>
      </w:pPr>
      <w:r>
        <w:rPr>
          <w:rFonts w:ascii="Calibri" w:cs="Calibri" w:eastAsia="Calibri" w:hAnsi="Calibri"/>
          <w:b/>
          <w:bCs/>
          <w:sz w:val="21"/>
          <w:szCs w:val="21"/>
        </w:rPr>
        <w:t xml:space="preserve">AN INVITATION. </w:t>
      </w:r>
      <w:r>
        <w:rPr>
          <w:rFonts w:ascii="Calibri" w:cs="Calibri" w:eastAsia="Calibri" w:hAnsi="Calibri"/>
          <w:sz w:val="21"/>
          <w:szCs w:val="21"/>
        </w:rPr>
        <w:t xml:space="preserve">Graeme's word, and the right one. Not a course, not a syllabus, nothing to pass or fail. An invitation to notice something about ourselves, about our surroundings, and about the people we meet.</w:t>
      </w:r>
    </w:p>
    <w:p>
      <w:pPr>
        <w:spacing w:after="140"/>
      </w:pPr>
      <w:r>
        <w:rPr>
          <w:rFonts w:ascii="Calibri" w:cs="Calibri" w:eastAsia="Calibri" w:hAnsi="Calibri"/>
          <w:b/>
          <w:bCs/>
          <w:sz w:val="21"/>
          <w:szCs w:val="21"/>
        </w:rPr>
        <w:t xml:space="preserve">Not a skill. </w:t>
      </w:r>
      <w:r>
        <w:rPr>
          <w:rFonts w:ascii="Calibri" w:cs="Calibri" w:eastAsia="Calibri" w:hAnsi="Calibri"/>
          <w:sz w:val="21"/>
          <w:szCs w:val="21"/>
        </w:rPr>
        <w:t xml:space="preserve">The temptation is to describe In Step as developing a skill, and the evidence points the other way — knowledge-based routes did not predict connection. In Step is attention practised, not competence acquired, and that difference is the reason it can work at all. The language must hold it.</w:t>
      </w:r>
    </w:p>
    <w:p>
      <w:pPr>
        <w:pStyle w:val="Heading2"/>
        <w:spacing w:after="140" w:before="300"/>
      </w:pPr>
      <w:r>
        <w:rPr>
          <w:rFonts w:ascii="Calibri" w:cs="Calibri" w:eastAsia="Calibri" w:hAnsi="Calibri"/>
        </w:rPr>
        <w:t xml:space="preserve">The chain — this is the programme</w:t>
      </w:r>
    </w:p>
    <w:p>
      <w:pPr>
        <w:spacing w:after="160"/>
      </w:pPr>
      <w:r>
        <w:rPr>
          <w:rFonts w:ascii="Calibri" w:cs="Calibri" w:eastAsia="Calibri" w:hAnsi="Calibri"/>
          <w:sz w:val="21"/>
          <w:szCs w:val="21"/>
        </w:rPr>
        <w:t xml:space="preserve">Graeme's answer to “what does somebody come away with”, which turned out to be the whole specification: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rPr>
          <w:tblHeader/>
        </w:trPr>
        <w:tc>
          <w:tcPr>
            <w:tcW w:type="dxa" w:w="700"/>
            <w:shd w:fill="E8EEF2" w:val="clear"/>
            <w:tcMar>
              <w:top w:type="dxa" w:w="80"/>
              <w:left w:type="dxa" w:w="110"/>
              <w:bottom w:type="dxa" w:w="80"/>
              <w:right w:type="dxa" w:w="110"/>
            </w:tcMar>
          </w:tcPr>
          <w:p>
            <w:r>
              <w:rPr>
                <w:rFonts w:ascii="Calibri" w:cs="Calibri" w:eastAsia="Calibri" w:hAnsi="Calibri"/>
                <w:b/>
                <w:bCs/>
                <w:sz w:val="19"/>
                <w:szCs w:val="19"/>
              </w:rPr>
              <w:t xml:space="preserve"/>
            </w:r>
          </w:p>
        </w:tc>
        <w:tc>
          <w:tcPr>
            <w:tcW w:type="dxa" w:w="8500"/>
            <w:shd w:fill="E8EEF2" w:val="clear"/>
            <w:tcMar>
              <w:top w:type="dxa" w:w="80"/>
              <w:left w:type="dxa" w:w="110"/>
              <w:bottom w:type="dxa" w:w="80"/>
              <w:right w:type="dxa" w:w="110"/>
            </w:tcMar>
          </w:tcPr>
          <w:p>
            <w:r>
              <w:rPr>
                <w:rFonts w:ascii="Calibri" w:cs="Calibri" w:eastAsia="Calibri" w:hAnsi="Calibri"/>
                <w:b/>
                <w:bCs/>
                <w:sz w:val="19"/>
                <w:szCs w:val="19"/>
              </w:rPr>
              <w:t xml:space="preserve">Step</w:t>
            </w:r>
          </w:p>
        </w:tc>
      </w:tr>
      <w:tr>
        <w:tc>
          <w:tcPr>
            <w:tcW w:type="dxa" w:w="700"/>
            <w:tcMar>
              <w:top w:type="dxa" w:w="80"/>
              <w:left w:type="dxa" w:w="110"/>
              <w:bottom w:type="dxa" w:w="80"/>
              <w:right w:type="dxa" w:w="110"/>
            </w:tcMar>
          </w:tcPr>
          <w:p>
            <w:r>
              <w:rPr>
                <w:rFonts w:ascii="Calibri" w:cs="Calibri" w:eastAsia="Calibri" w:hAnsi="Calibri"/>
                <w:sz w:val="19"/>
                <w:szCs w:val="19"/>
              </w:rPr>
              <w:t xml:space="preserve">1</w:t>
            </w:r>
          </w:p>
        </w:tc>
        <w:tc>
          <w:tcPr>
            <w:tcW w:type="dxa" w:w="8500"/>
            <w:tcMar>
              <w:top w:type="dxa" w:w="80"/>
              <w:left w:type="dxa" w:w="110"/>
              <w:bottom w:type="dxa" w:w="80"/>
              <w:right w:type="dxa" w:w="110"/>
            </w:tcMar>
          </w:tcPr>
          <w:p>
            <w:r>
              <w:rPr>
                <w:rFonts w:ascii="Calibri" w:cs="Calibri" w:eastAsia="Calibri" w:hAnsi="Calibri"/>
                <w:sz w:val="19"/>
                <w:szCs w:val="19"/>
              </w:rPr>
              <w:t xml:space="preserve">You turn up in low energy or low mood, and a small adaptation still gets you somewhere. You do not have to be at your best to do something worthwhile.</w:t>
            </w:r>
          </w:p>
        </w:tc>
      </w:tr>
      <w:tr>
        <w:tc>
          <w:tcPr>
            <w:tcW w:type="dxa" w:w="700"/>
            <w:tcMar>
              <w:top w:type="dxa" w:w="80"/>
              <w:left w:type="dxa" w:w="110"/>
              <w:bottom w:type="dxa" w:w="80"/>
              <w:right w:type="dxa" w:w="110"/>
            </w:tcMar>
          </w:tcPr>
          <w:p>
            <w:r>
              <w:rPr>
                <w:rFonts w:ascii="Calibri" w:cs="Calibri" w:eastAsia="Calibri" w:hAnsi="Calibri"/>
                <w:sz w:val="19"/>
                <w:szCs w:val="19"/>
              </w:rPr>
              <w:t xml:space="preserve">2</w:t>
            </w:r>
          </w:p>
        </w:tc>
        <w:tc>
          <w:tcPr>
            <w:tcW w:type="dxa" w:w="8500"/>
            <w:tcMar>
              <w:top w:type="dxa" w:w="80"/>
              <w:left w:type="dxa" w:w="110"/>
              <w:bottom w:type="dxa" w:w="80"/>
              <w:right w:type="dxa" w:w="110"/>
            </w:tcMar>
          </w:tcPr>
          <w:p>
            <w:r>
              <w:rPr>
                <w:rFonts w:ascii="Calibri" w:cs="Calibri" w:eastAsia="Calibri" w:hAnsi="Calibri"/>
                <w:sz w:val="19"/>
                <w:szCs w:val="19"/>
              </w:rPr>
              <w:t xml:space="preserve">You recognise your own frictions and starting points — that you arrive somewhere FROM somewhere.</w:t>
            </w:r>
          </w:p>
        </w:tc>
      </w:tr>
      <w:tr>
        <w:tc>
          <w:tcPr>
            <w:tcW w:type="dxa" w:w="700"/>
            <w:tcMar>
              <w:top w:type="dxa" w:w="80"/>
              <w:left w:type="dxa" w:w="110"/>
              <w:bottom w:type="dxa" w:w="80"/>
              <w:right w:type="dxa" w:w="110"/>
            </w:tcMar>
          </w:tcPr>
          <w:p>
            <w:r>
              <w:rPr>
                <w:rFonts w:ascii="Calibri" w:cs="Calibri" w:eastAsia="Calibri" w:hAnsi="Calibri"/>
                <w:sz w:val="19"/>
                <w:szCs w:val="19"/>
              </w:rPr>
              <w:t xml:space="preserve">3</w:t>
            </w:r>
          </w:p>
        </w:tc>
        <w:tc>
          <w:tcPr>
            <w:tcW w:type="dxa" w:w="8500"/>
            <w:tcMar>
              <w:top w:type="dxa" w:w="80"/>
              <w:left w:type="dxa" w:w="110"/>
              <w:bottom w:type="dxa" w:w="80"/>
              <w:right w:type="dxa" w:w="110"/>
            </w:tcMar>
          </w:tcPr>
          <w:p>
            <w:r>
              <w:rPr>
                <w:rFonts w:ascii="Calibri" w:cs="Calibri" w:eastAsia="Calibri" w:hAnsi="Calibri"/>
                <w:sz w:val="19"/>
                <w:szCs w:val="19"/>
              </w:rPr>
              <w:t xml:space="preserve">You meet somebody else and register that they also arrived from somewhere, carrying a backstory you cannot see.</w:t>
            </w:r>
          </w:p>
        </w:tc>
      </w:tr>
      <w:tr>
        <w:tc>
          <w:tcPr>
            <w:tcW w:type="dxa" w:w="700"/>
            <w:tcMar>
              <w:top w:type="dxa" w:w="80"/>
              <w:left w:type="dxa" w:w="110"/>
              <w:bottom w:type="dxa" w:w="80"/>
              <w:right w:type="dxa" w:w="110"/>
            </w:tcMar>
          </w:tcPr>
          <w:p>
            <w:r>
              <w:rPr>
                <w:rFonts w:ascii="Calibri" w:cs="Calibri" w:eastAsia="Calibri" w:hAnsi="Calibri"/>
                <w:sz w:val="19"/>
                <w:szCs w:val="19"/>
              </w:rPr>
              <w:t xml:space="preserve">4</w:t>
            </w:r>
          </w:p>
        </w:tc>
        <w:tc>
          <w:tcPr>
            <w:tcW w:type="dxa" w:w="8500"/>
            <w:tcMar>
              <w:top w:type="dxa" w:w="80"/>
              <w:left w:type="dxa" w:w="110"/>
              <w:bottom w:type="dxa" w:w="80"/>
              <w:right w:type="dxa" w:w="110"/>
            </w:tcMar>
          </w:tcPr>
          <w:p>
            <w:r>
              <w:rPr>
                <w:rFonts w:ascii="Calibri" w:cs="Calibri" w:eastAsia="Calibri" w:hAnsi="Calibri"/>
                <w:sz w:val="19"/>
                <w:szCs w:val="19"/>
              </w:rPr>
              <w:t xml:space="preserve">Having been met with compassion yourself, you meet them with it.</w:t>
            </w:r>
          </w:p>
        </w:tc>
      </w:tr>
      <w:tr>
        <w:tc>
          <w:tcPr>
            <w:tcW w:type="dxa" w:w="700"/>
            <w:tcMar>
              <w:top w:type="dxa" w:w="80"/>
              <w:left w:type="dxa" w:w="110"/>
              <w:bottom w:type="dxa" w:w="80"/>
              <w:right w:type="dxa" w:w="110"/>
            </w:tcMar>
          </w:tcPr>
          <w:p>
            <w:r>
              <w:rPr>
                <w:rFonts w:ascii="Calibri" w:cs="Calibri" w:eastAsia="Calibri" w:hAnsi="Calibri"/>
                <w:sz w:val="19"/>
                <w:szCs w:val="19"/>
              </w:rPr>
              <w:t xml:space="preserve">5</w:t>
            </w:r>
          </w:p>
        </w:tc>
        <w:tc>
          <w:tcPr>
            <w:tcW w:type="dxa" w:w="8500"/>
            <w:tcMar>
              <w:top w:type="dxa" w:w="80"/>
              <w:left w:type="dxa" w:w="110"/>
              <w:bottom w:type="dxa" w:w="80"/>
              <w:right w:type="dxa" w:w="110"/>
            </w:tcMar>
          </w:tcPr>
          <w:p>
            <w:r>
              <w:rPr>
                <w:rFonts w:ascii="Calibri" w:cs="Calibri" w:eastAsia="Calibri" w:hAnsi="Calibri"/>
                <w:sz w:val="19"/>
                <w:szCs w:val="19"/>
              </w:rPr>
              <w:t xml:space="preserve">You transfer that to people you have no history with at all. That is the empathy transfer, and it is the destination.</w:t>
            </w:r>
          </w:p>
        </w:tc>
      </w:tr>
    </w:tbl>
    <w:p>
      <w:pPr>
        <w:spacing w:after="140"/>
      </w:pPr>
      <w:r>
        <w:rPr>
          <w:rFonts w:ascii="Calibri" w:cs="Calibri" w:eastAsia="Calibri" w:hAnsi="Calibri"/>
          <w:b/>
          <w:bCs/>
          <w:sz w:val="21"/>
          <w:szCs w:val="21"/>
        </w:rPr>
        <w:t xml:space="preserve">STEP ONE IS THE APP ITSELF. </w:t>
      </w:r>
      <w:r>
        <w:rPr>
          <w:rFonts w:ascii="Calibri" w:cs="Calibri" w:eastAsia="Calibri" w:hAnsi="Calibri"/>
          <w:sz w:val="21"/>
          <w:szCs w:val="21"/>
        </w:rPr>
        <w:t xml:space="preserve">The coach meeting somebody where they are on a bad day IS the modelled experience. In Step is not a wellbeing module bolted onto a movement app — it is the app's own behaviour turned outward. Everything Alongside does to a person, In Step invites them to do to someone else.</w:t>
      </w:r>
    </w:p>
    <w:p>
      <w:pPr>
        <w:spacing w:after="140"/>
      </w:pPr>
      <w:r>
        <w:rPr>
          <w:rFonts w:ascii="Calibri" w:cs="Calibri" w:eastAsia="Calibri" w:hAnsi="Calibri"/>
          <w:b/>
          <w:bCs/>
          <w:sz w:val="21"/>
          <w:szCs w:val="21"/>
        </w:rPr>
        <w:t xml:space="preserve">Which is why it cannot be taught, only noticed. </w:t>
      </w:r>
      <w:r>
        <w:rPr>
          <w:rFonts w:ascii="Calibri" w:cs="Calibri" w:eastAsia="Calibri" w:hAnsi="Calibri"/>
          <w:sz w:val="21"/>
          <w:szCs w:val="21"/>
        </w:rPr>
        <w:t xml:space="preserve">We are not explaining empathy to anybody. We are pointing at something that has already been done to them, repeatedly, by the coach — and asking whether they might pass it on. That is the strongest possible position from which to raise it, and it is available to no competitor, because none of them met the person where they were in the first place.</w:t>
      </w:r>
    </w:p>
    <w:p>
      <w:pPr>
        <w:pStyle w:val="Heading2"/>
        <w:spacing w:after="140" w:before="300"/>
      </w:pPr>
      <w:r>
        <w:rPr>
          <w:rFonts w:ascii="Calibri" w:cs="Calibri" w:eastAsia="Calibri" w:hAnsi="Calibri"/>
        </w:rPr>
        <w:t xml:space="preserve">Nature is a state of mind, not a location</w:t>
      </w:r>
    </w:p>
    <w:p>
      <w:pPr>
        <w:spacing w:after="140"/>
      </w:pPr>
      <w:r>
        <w:rPr>
          <w:rFonts w:ascii="Calibri" w:cs="Calibri" w:eastAsia="Calibri" w:hAnsi="Calibri"/>
          <w:b/>
          <w:bCs/>
          <w:sz w:val="21"/>
          <w:szCs w:val="21"/>
        </w:rPr>
        <w:t xml:space="preserve">In Step does not require being outdoors. </w:t>
      </w:r>
      <w:r>
        <w:rPr>
          <w:rFonts w:ascii="Calibri" w:cs="Calibri" w:eastAsia="Calibri" w:hAnsi="Calibri"/>
          <w:sz w:val="21"/>
          <w:szCs w:val="21"/>
        </w:rPr>
        <w:t xml:space="preserve">Graeme, 3 Sep. Nature is largely outdoors; the noticing is not. Somebody can reflect on the cycle from a kitchen, or on a colleague from a desk. Rain is not an obstacle to it — rain is some of it.</w:t>
      </w:r>
    </w:p>
    <w:p>
      <w:pPr>
        <w:spacing w:after="140"/>
      </w:pPr>
      <w:r>
        <w:rPr>
          <w:rFonts w:ascii="Calibri" w:cs="Calibri" w:eastAsia="Calibri" w:hAnsi="Calibri"/>
          <w:b/>
          <w:bCs/>
          <w:sz w:val="21"/>
          <w:szCs w:val="21"/>
        </w:rPr>
        <w:t xml:space="preserve">The bees and the flies. </w:t>
      </w:r>
      <w:r>
        <w:rPr>
          <w:rFonts w:ascii="Calibri" w:cs="Calibri" w:eastAsia="Calibri" w:hAnsi="Calibri"/>
          <w:sz w:val="21"/>
          <w:szCs w:val="21"/>
        </w:rPr>
        <w:t xml:space="preserve">Graeme's example, and the best teaching object in the programme. Bees pollinate and we admire them. Flies break down dead material into the fertility that growth depends on, and we do not admire them at all. Both are load-bearing. Noticing that a system depends on the parts you do not admire is the same move as noticing it about people — and it makes the point without making an argument.</w:t>
      </w:r>
    </w:p>
    <w:p>
      <w:pPr>
        <w:spacing w:after="140"/>
      </w:pPr>
      <w:r>
        <w:rPr>
          <w:rFonts w:ascii="Calibri" w:cs="Calibri" w:eastAsia="Calibri" w:hAnsi="Calibri"/>
          <w:b/>
          <w:bCs/>
          <w:sz w:val="21"/>
          <w:szCs w:val="21"/>
        </w:rPr>
        <w:t xml:space="preserve">This is also the safest framing, and the two facts are related. </w:t>
      </w:r>
      <w:r>
        <w:rPr>
          <w:rFonts w:ascii="Calibri" w:cs="Calibri" w:eastAsia="Calibri" w:hAnsi="Calibri"/>
          <w:sz w:val="21"/>
          <w:szCs w:val="21"/>
        </w:rPr>
        <w:t xml:space="preserve">Interdependence is recognisable to people across the political spectrum in their own terms. The moment content reads as coded for one side it stops being an invitation and becomes an argument, and it loses precisely the people it might have reached. NO POLITICAL FRAMING, EVER. The bees and the flies do the work without naming anybody.</w:t>
      </w:r>
    </w:p>
    <w:p>
      <w:pPr>
        <w:pStyle w:val="Heading2"/>
        <w:spacing w:after="140" w:before="300"/>
      </w:pPr>
      <w:r>
        <w:rPr>
          <w:rFonts w:ascii="Calibri" w:cs="Calibri" w:eastAsia="Calibri" w:hAnsi="Calibri"/>
        </w:rPr>
        <w:t xml:space="preserve">Structure: the five pathways carry the chain</w:t>
      </w:r>
    </w:p>
    <w:p>
      <w:pPr>
        <w:spacing w:after="140"/>
      </w:pPr>
      <w:r>
        <w:rPr>
          <w:rFonts w:ascii="Calibri" w:cs="Calibri" w:eastAsia="Calibri" w:hAnsi="Calibri"/>
          <w:b/>
          <w:bCs/>
          <w:sz w:val="21"/>
          <w:szCs w:val="21"/>
        </w:rPr>
        <w:t xml:space="preserve">Lumber, Richardson &amp; Sheffield (2017, PLOS ONE 12(5): e0177186) </w:t>
      </w:r>
      <w:r>
        <w:rPr>
          <w:rFonts w:ascii="Calibri" w:cs="Calibri" w:eastAsia="Calibri" w:hAnsi="Calibri"/>
          <w:sz w:val="21"/>
          <w:szCs w:val="21"/>
        </w:rPr>
        <w:t xml:space="preserve">found contact, emotion, meaning and compassion — the last mediated by engagement with natural beauty — predicted connection with nature, while knowledge-based activities did not. A walking intervention built on those pathways significantly outperformed walking in nature alone.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200"/>
      </w:tblGrid>
      <w:tr>
        <w:trPr>
          <w:tblHeader/>
        </w:trPr>
        <w:tc>
          <w:tcPr>
            <w:tcW w:type="dxa" w:w="1700"/>
            <w:shd w:fill="E8EEF2" w:val="clear"/>
            <w:tcMar>
              <w:top w:type="dxa" w:w="80"/>
              <w:left w:type="dxa" w:w="110"/>
              <w:bottom w:type="dxa" w:w="80"/>
              <w:right w:type="dxa" w:w="110"/>
            </w:tcMar>
          </w:tcPr>
          <w:p>
            <w:r>
              <w:rPr>
                <w:rFonts w:ascii="Calibri" w:cs="Calibri" w:eastAsia="Calibri" w:hAnsi="Calibri"/>
                <w:b/>
                <w:bCs/>
                <w:sz w:val="19"/>
                <w:szCs w:val="19"/>
              </w:rPr>
              <w:t xml:space="preserve">Pathway</w:t>
            </w:r>
          </w:p>
        </w:tc>
        <w:tc>
          <w:tcPr>
            <w:tcW w:type="dxa" w:w="2300"/>
            <w:shd w:fill="E8EEF2" w:val="clear"/>
            <w:tcMar>
              <w:top w:type="dxa" w:w="80"/>
              <w:left w:type="dxa" w:w="110"/>
              <w:bottom w:type="dxa" w:w="80"/>
              <w:right w:type="dxa" w:w="110"/>
            </w:tcMar>
          </w:tcPr>
          <w:p>
            <w:r>
              <w:rPr>
                <w:rFonts w:ascii="Calibri" w:cs="Calibri" w:eastAsia="Calibri" w:hAnsi="Calibri"/>
                <w:b/>
                <w:bCs/>
                <w:sz w:val="19"/>
                <w:szCs w:val="19"/>
              </w:rPr>
              <w:t xml:space="preserve">In Step calls it</w:t>
            </w:r>
          </w:p>
        </w:tc>
        <w:tc>
          <w:tcPr>
            <w:tcW w:type="dxa" w:w="5200"/>
            <w:shd w:fill="E8EEF2" w:val="clear"/>
            <w:tcMar>
              <w:top w:type="dxa" w:w="80"/>
              <w:left w:type="dxa" w:w="110"/>
              <w:bottom w:type="dxa" w:w="80"/>
              <w:right w:type="dxa" w:w="110"/>
            </w:tcMar>
          </w:tcPr>
          <w:p>
            <w:r>
              <w:rPr>
                <w:rFonts w:ascii="Calibri" w:cs="Calibri" w:eastAsia="Calibri" w:hAnsi="Calibri"/>
                <w:b/>
                <w:bCs/>
                <w:sz w:val="19"/>
                <w:szCs w:val="19"/>
              </w:rPr>
              <w:t xml:space="preserve">The invitation</w:t>
            </w:r>
          </w:p>
        </w:tc>
      </w:tr>
      <w:tr>
        <w:tc>
          <w:tcPr>
            <w:tcW w:type="dxa" w:w="1700"/>
            <w:tcMar>
              <w:top w:type="dxa" w:w="80"/>
              <w:left w:type="dxa" w:w="110"/>
              <w:bottom w:type="dxa" w:w="80"/>
              <w:right w:type="dxa" w:w="110"/>
            </w:tcMar>
          </w:tcPr>
          <w:p>
            <w:r>
              <w:rPr>
                <w:rFonts w:ascii="Calibri" w:cs="Calibri" w:eastAsia="Calibri" w:hAnsi="Calibri"/>
                <w:sz w:val="19"/>
                <w:szCs w:val="19"/>
              </w:rPr>
              <w:t xml:space="preserve">Contact</w:t>
            </w:r>
          </w:p>
        </w:tc>
        <w:tc>
          <w:tcPr>
            <w:tcW w:type="dxa" w:w="2300"/>
            <w:tcMar>
              <w:top w:type="dxa" w:w="80"/>
              <w:left w:type="dxa" w:w="110"/>
              <w:bottom w:type="dxa" w:w="80"/>
              <w:right w:type="dxa" w:w="110"/>
            </w:tcMar>
          </w:tcPr>
          <w:p>
            <w:r>
              <w:rPr>
                <w:rFonts w:ascii="Calibri" w:cs="Calibri" w:eastAsia="Calibri" w:hAnsi="Calibri"/>
                <w:sz w:val="19"/>
                <w:szCs w:val="19"/>
              </w:rPr>
              <w:t xml:space="preserve">Being here</w:t>
            </w:r>
          </w:p>
        </w:tc>
        <w:tc>
          <w:tcPr>
            <w:tcW w:type="dxa" w:w="5200"/>
            <w:tcMar>
              <w:top w:type="dxa" w:w="80"/>
              <w:left w:type="dxa" w:w="110"/>
              <w:bottom w:type="dxa" w:w="80"/>
              <w:right w:type="dxa" w:w="110"/>
            </w:tcMar>
          </w:tcPr>
          <w:p>
            <w:r>
              <w:rPr>
                <w:rFonts w:ascii="Calibri" w:cs="Calibri" w:eastAsia="Calibri" w:hAnsi="Calibri"/>
                <w:sz w:val="19"/>
                <w:szCs w:val="19"/>
              </w:rPr>
              <w:t xml:space="preserve">Attention on the senses rather than on distance or pace. Indoors counts.</w:t>
            </w:r>
          </w:p>
        </w:tc>
      </w:tr>
      <w:tr>
        <w:tc>
          <w:tcPr>
            <w:tcW w:type="dxa" w:w="1700"/>
            <w:tcMar>
              <w:top w:type="dxa" w:w="80"/>
              <w:left w:type="dxa" w:w="110"/>
              <w:bottom w:type="dxa" w:w="80"/>
              <w:right w:type="dxa" w:w="110"/>
            </w:tcMar>
          </w:tcPr>
          <w:p>
            <w:r>
              <w:rPr>
                <w:rFonts w:ascii="Calibri" w:cs="Calibri" w:eastAsia="Calibri" w:hAnsi="Calibri"/>
                <w:sz w:val="19"/>
                <w:szCs w:val="19"/>
              </w:rPr>
              <w:t xml:space="preserve">Beauty</w:t>
            </w:r>
          </w:p>
        </w:tc>
        <w:tc>
          <w:tcPr>
            <w:tcW w:type="dxa" w:w="2300"/>
            <w:tcMar>
              <w:top w:type="dxa" w:w="80"/>
              <w:left w:type="dxa" w:w="110"/>
              <w:bottom w:type="dxa" w:w="80"/>
              <w:right w:type="dxa" w:w="110"/>
            </w:tcMar>
          </w:tcPr>
          <w:p>
            <w:r>
              <w:rPr>
                <w:rFonts w:ascii="Calibri" w:cs="Calibri" w:eastAsia="Calibri" w:hAnsi="Calibri"/>
                <w:sz w:val="19"/>
                <w:szCs w:val="19"/>
              </w:rPr>
              <w:t xml:space="preserve">Noticing</w:t>
            </w:r>
          </w:p>
        </w:tc>
        <w:tc>
          <w:tcPr>
            <w:tcW w:type="dxa" w:w="5200"/>
            <w:tcMar>
              <w:top w:type="dxa" w:w="80"/>
              <w:left w:type="dxa" w:w="110"/>
              <w:bottom w:type="dxa" w:w="80"/>
              <w:right w:type="dxa" w:w="110"/>
            </w:tcMar>
          </w:tcPr>
          <w:p>
            <w:r>
              <w:rPr>
                <w:rFonts w:ascii="Calibri" w:cs="Calibri" w:eastAsia="Calibri" w:hAnsi="Calibri"/>
                <w:sz w:val="19"/>
                <w:szCs w:val="19"/>
              </w:rPr>
              <w:t xml:space="preserve">One thing worth looking at, stayed with. The MEDIATING pathway — beauty is what carries compassion, so this is not decoration.</w:t>
            </w:r>
          </w:p>
        </w:tc>
      </w:tr>
      <w:tr>
        <w:tc>
          <w:tcPr>
            <w:tcW w:type="dxa" w:w="1700"/>
            <w:tcMar>
              <w:top w:type="dxa" w:w="80"/>
              <w:left w:type="dxa" w:w="110"/>
              <w:bottom w:type="dxa" w:w="80"/>
              <w:right w:type="dxa" w:w="110"/>
            </w:tcMar>
          </w:tcPr>
          <w:p>
            <w:r>
              <w:rPr>
                <w:rFonts w:ascii="Calibri" w:cs="Calibri" w:eastAsia="Calibri" w:hAnsi="Calibri"/>
                <w:sz w:val="19"/>
                <w:szCs w:val="19"/>
              </w:rPr>
              <w:t xml:space="preserve">Emotion</w:t>
            </w:r>
          </w:p>
        </w:tc>
        <w:tc>
          <w:tcPr>
            <w:tcW w:type="dxa" w:w="2300"/>
            <w:tcMar>
              <w:top w:type="dxa" w:w="80"/>
              <w:left w:type="dxa" w:w="110"/>
              <w:bottom w:type="dxa" w:w="80"/>
              <w:right w:type="dxa" w:w="110"/>
            </w:tcMar>
          </w:tcPr>
          <w:p>
            <w:r>
              <w:rPr>
                <w:rFonts w:ascii="Calibri" w:cs="Calibri" w:eastAsia="Calibri" w:hAnsi="Calibri"/>
                <w:sz w:val="19"/>
                <w:szCs w:val="19"/>
              </w:rPr>
              <w:t xml:space="preserve">Feeling it</w:t>
            </w:r>
          </w:p>
        </w:tc>
        <w:tc>
          <w:tcPr>
            <w:tcW w:type="dxa" w:w="5200"/>
            <w:tcMar>
              <w:top w:type="dxa" w:w="80"/>
              <w:left w:type="dxa" w:w="110"/>
              <w:bottom w:type="dxa" w:w="80"/>
              <w:right w:type="dxa" w:w="110"/>
            </w:tcMar>
          </w:tcPr>
          <w:p>
            <w:r>
              <w:rPr>
                <w:rFonts w:ascii="Calibri" w:cs="Calibri" w:eastAsia="Calibri" w:hAnsi="Calibri"/>
                <w:sz w:val="19"/>
                <w:szCs w:val="19"/>
              </w:rPr>
              <w:t xml:space="preserve">Naming what the moment produced, without improving on it.</w:t>
            </w:r>
          </w:p>
        </w:tc>
      </w:tr>
      <w:tr>
        <w:tc>
          <w:tcPr>
            <w:tcW w:type="dxa" w:w="1700"/>
            <w:tcMar>
              <w:top w:type="dxa" w:w="80"/>
              <w:left w:type="dxa" w:w="110"/>
              <w:bottom w:type="dxa" w:w="80"/>
              <w:right w:type="dxa" w:w="110"/>
            </w:tcMar>
          </w:tcPr>
          <w:p>
            <w:r>
              <w:rPr>
                <w:rFonts w:ascii="Calibri" w:cs="Calibri" w:eastAsia="Calibri" w:hAnsi="Calibri"/>
                <w:sz w:val="19"/>
                <w:szCs w:val="19"/>
              </w:rPr>
              <w:t xml:space="preserve">Meaning</w:t>
            </w:r>
          </w:p>
        </w:tc>
        <w:tc>
          <w:tcPr>
            <w:tcW w:type="dxa" w:w="2300"/>
            <w:tcMar>
              <w:top w:type="dxa" w:w="80"/>
              <w:left w:type="dxa" w:w="110"/>
              <w:bottom w:type="dxa" w:w="80"/>
              <w:right w:type="dxa" w:w="110"/>
            </w:tcMar>
          </w:tcPr>
          <w:p>
            <w:r>
              <w:rPr>
                <w:rFonts w:ascii="Calibri" w:cs="Calibri" w:eastAsia="Calibri" w:hAnsi="Calibri"/>
                <w:sz w:val="19"/>
                <w:szCs w:val="19"/>
              </w:rPr>
              <w:t xml:space="preserve">Where it fits</w:t>
            </w:r>
          </w:p>
        </w:tc>
        <w:tc>
          <w:tcPr>
            <w:tcW w:type="dxa" w:w="5200"/>
            <w:tcMar>
              <w:top w:type="dxa" w:w="80"/>
              <w:left w:type="dxa" w:w="110"/>
              <w:bottom w:type="dxa" w:w="80"/>
              <w:right w:type="dxa" w:w="110"/>
            </w:tcMar>
          </w:tcPr>
          <w:p>
            <w:r>
              <w:rPr>
                <w:rFonts w:ascii="Calibri" w:cs="Calibri" w:eastAsia="Calibri" w:hAnsi="Calibri"/>
                <w:sz w:val="19"/>
                <w:szCs w:val="19"/>
              </w:rPr>
              <w:t xml:space="preserve">The cycle. Season, decay, return. Bees and flies live here.</w:t>
            </w:r>
          </w:p>
        </w:tc>
      </w:tr>
      <w:tr>
        <w:tc>
          <w:tcPr>
            <w:tcW w:type="dxa" w:w="1700"/>
            <w:tcMar>
              <w:top w:type="dxa" w:w="80"/>
              <w:left w:type="dxa" w:w="110"/>
              <w:bottom w:type="dxa" w:w="80"/>
              <w:right w:type="dxa" w:w="110"/>
            </w:tcMar>
          </w:tcPr>
          <w:p>
            <w:r>
              <w:rPr>
                <w:rFonts w:ascii="Calibri" w:cs="Calibri" w:eastAsia="Calibri" w:hAnsi="Calibri"/>
                <w:sz w:val="19"/>
                <w:szCs w:val="19"/>
              </w:rPr>
              <w:t xml:space="preserve">Compassion</w:t>
            </w:r>
          </w:p>
        </w:tc>
        <w:tc>
          <w:tcPr>
            <w:tcW w:type="dxa" w:w="2300"/>
            <w:tcMar>
              <w:top w:type="dxa" w:w="80"/>
              <w:left w:type="dxa" w:w="110"/>
              <w:bottom w:type="dxa" w:w="80"/>
              <w:right w:type="dxa" w:w="110"/>
            </w:tcMar>
          </w:tcPr>
          <w:p>
            <w:r>
              <w:rPr>
                <w:rFonts w:ascii="Calibri" w:cs="Calibri" w:eastAsia="Calibri" w:hAnsi="Calibri"/>
                <w:sz w:val="19"/>
                <w:szCs w:val="19"/>
              </w:rPr>
              <w:t xml:space="preserve">In step</w:t>
            </w:r>
          </w:p>
        </w:tc>
        <w:tc>
          <w:tcPr>
            <w:tcW w:type="dxa" w:w="5200"/>
            <w:tcMar>
              <w:top w:type="dxa" w:w="80"/>
              <w:left w:type="dxa" w:w="110"/>
              <w:bottom w:type="dxa" w:w="80"/>
              <w:right w:type="dxa" w:w="110"/>
            </w:tcMar>
          </w:tcPr>
          <w:p>
            <w:r>
              <w:rPr>
                <w:rFonts w:ascii="Calibri" w:cs="Calibri" w:eastAsia="Calibri" w:hAnsi="Calibri"/>
                <w:sz w:val="19"/>
                <w:szCs w:val="19"/>
              </w:rPr>
              <w:t xml:space="preserve">The same attention turned outward: to something living, then to a person, then to a stranger.</w:t>
            </w:r>
          </w:p>
        </w:tc>
      </w:tr>
    </w:tbl>
    <w:p>
      <w:pPr>
        <w:spacing w:after="140"/>
      </w:pPr>
      <w:r>
        <w:rPr>
          <w:rFonts w:ascii="Calibri" w:cs="Calibri" w:eastAsia="Calibri" w:hAnsi="Calibri"/>
          <w:b/>
          <w:bCs/>
          <w:sz w:val="21"/>
          <w:szCs w:val="21"/>
        </w:rPr>
        <w:t xml:space="preserve">The order IS the programme. </w:t>
      </w:r>
      <w:r>
        <w:rPr>
          <w:rFonts w:ascii="Calibri" w:cs="Calibri" w:eastAsia="Calibri" w:hAnsi="Calibri"/>
          <w:sz w:val="21"/>
          <w:szCs w:val="21"/>
        </w:rPr>
        <w:t xml:space="preserve">Compassion is arrived at through beauty, never asserted at the start. A programme that opened by asking somebody to think about other people would be doing precisely what the evidence says fails.</w:t>
      </w:r>
    </w:p>
    <w:p>
      <w:pPr>
        <w:spacing w:after="140"/>
      </w:pPr>
      <w:r>
        <w:rPr>
          <w:rFonts w:ascii="Calibri" w:cs="Calibri" w:eastAsia="Calibri" w:hAnsi="Calibri"/>
          <w:b/>
          <w:bCs/>
          <w:sz w:val="21"/>
          <w:szCs w:val="21"/>
        </w:rPr>
        <w:t xml:space="preserve">A global meta-analysis of 59 experimental studies </w:t>
      </w:r>
      <w:r>
        <w:rPr>
          <w:rFonts w:ascii="Calibri" w:cs="Calibri" w:eastAsia="Calibri" w:hAnsi="Calibri"/>
          <w:sz w:val="21"/>
          <w:szCs w:val="21"/>
        </w:rPr>
        <w:t xml:space="preserve">found significant increases in human–nature connectedness from nature contact and mindfulness practices, and no significant effect from environmental education. Every instinct to explain should be treated as a design error.</w:t>
      </w:r>
    </w:p>
    <w:p>
      <w:pPr>
        <w:pStyle w:val="Heading2"/>
        <w:spacing w:after="140" w:before="300"/>
      </w:pPr>
      <w:r>
        <w:rPr>
          <w:rFonts w:ascii="Calibri" w:cs="Calibri" w:eastAsia="Calibri" w:hAnsi="Calibri"/>
        </w:rPr>
        <w:t xml:space="preserve">How it attaches</w:t>
      </w:r>
    </w:p>
    <w:p>
      <w:pPr>
        <w:pStyle w:val="ListParagraph"/>
        <w:numPr>
          <w:ilvl w:val="0"/>
          <w:numId w:val="2"/>
        </w:numPr>
        <w:spacing w:after="90"/>
      </w:pPr>
      <w:r>
        <w:rPr>
          <w:rFonts w:ascii="Calibri" w:cs="Calibri" w:eastAsia="Calibri" w:hAnsi="Calibri"/>
          <w:sz w:val="21"/>
          <w:szCs w:val="21"/>
        </w:rPr>
        <w:t xml:space="preserve">AS A STRAND, in its own right, under a physical aim — “confidence about getting down”, “being outside more”. This is what stops it becoming a garnish.</w:t>
      </w:r>
    </w:p>
    <w:p>
      <w:pPr>
        <w:pStyle w:val="ListParagraph"/>
        <w:numPr>
          <w:ilvl w:val="0"/>
          <w:numId w:val="2"/>
        </w:numPr>
        <w:spacing w:after="90"/>
      </w:pPr>
      <w:r>
        <w:rPr>
          <w:rFonts w:ascii="Calibri" w:cs="Calibri" w:eastAsia="Calibri" w:hAnsi="Calibri"/>
          <w:sz w:val="21"/>
          <w:szCs w:val="21"/>
        </w:rPr>
        <w:t xml:space="preserve">AS A WIND-DOWN to a physical session. Good delivery; not where it lives.</w:t>
      </w:r>
    </w:p>
    <w:p>
      <w:pPr>
        <w:pStyle w:val="ListParagraph"/>
        <w:numPr>
          <w:ilvl w:val="0"/>
          <w:numId w:val="2"/>
        </w:numPr>
        <w:spacing w:after="90"/>
      </w:pPr>
      <w:r>
        <w:rPr>
          <w:rFonts w:ascii="Calibri" w:cs="Calibri" w:eastAsia="Calibri" w:hAnsi="Calibri"/>
          <w:sz w:val="21"/>
          <w:szCs w:val="21"/>
        </w:rPr>
        <w:t xml:space="preserve">AS A STANDALONE INVITATION, chosen from SETTLE YOUR MIND on the free screen.</w:t>
      </w:r>
    </w:p>
    <w:p>
      <w:pPr>
        <w:pStyle w:val="ListParagraph"/>
        <w:numPr>
          <w:ilvl w:val="0"/>
          <w:numId w:val="2"/>
        </w:numPr>
        <w:spacing w:after="90"/>
      </w:pPr>
      <w:r>
        <w:rPr>
          <w:rFonts w:ascii="Calibri" w:cs="Calibri" w:eastAsia="Calibri" w:hAnsi="Calibri"/>
          <w:sz w:val="21"/>
          <w:szCs w:val="21"/>
        </w:rPr>
        <w:t xml:space="preserve">FREE IN BOTH TIERS. Plan members meet it more often because the coach offers it — access is free, direction is paid.</w:t>
      </w:r>
    </w:p>
    <w:p>
      <w:pPr>
        <w:pStyle w:val="Heading2"/>
        <w:spacing w:after="140" w:before="300"/>
      </w:pPr>
      <w:r>
        <w:rPr>
          <w:rFonts w:ascii="Calibri" w:cs="Calibri" w:eastAsia="Calibri" w:hAnsi="Calibri"/>
        </w:rPr>
        <w:t xml:space="preserve">What it must never be</w:t>
      </w:r>
    </w:p>
    <w:p>
      <w:pPr>
        <w:pStyle w:val="ListParagraph"/>
        <w:numPr>
          <w:ilvl w:val="0"/>
          <w:numId w:val="2"/>
        </w:numPr>
        <w:spacing w:after="90"/>
      </w:pPr>
      <w:r>
        <w:rPr>
          <w:rFonts w:ascii="Calibri" w:cs="Calibri" w:eastAsia="Calibri" w:hAnsi="Calibri"/>
          <w:sz w:val="21"/>
          <w:szCs w:val="21"/>
        </w:rPr>
        <w:t xml:space="preserve">A course, a syllabus, or an explanation of empathy.</w:t>
      </w:r>
    </w:p>
    <w:p>
      <w:pPr>
        <w:pStyle w:val="ListParagraph"/>
        <w:numPr>
          <w:ilvl w:val="0"/>
          <w:numId w:val="2"/>
        </w:numPr>
        <w:spacing w:after="90"/>
      </w:pPr>
      <w:r>
        <w:rPr>
          <w:rFonts w:ascii="Calibri" w:cs="Calibri" w:eastAsia="Calibri" w:hAnsi="Calibri"/>
          <w:sz w:val="21"/>
          <w:szCs w:val="21"/>
        </w:rPr>
        <w:t xml:space="preserve">Political, or readable as coded for one side.</w:t>
      </w:r>
    </w:p>
    <w:p>
      <w:pPr>
        <w:pStyle w:val="ListParagraph"/>
        <w:numPr>
          <w:ilvl w:val="0"/>
          <w:numId w:val="2"/>
        </w:numPr>
        <w:spacing w:after="90"/>
      </w:pPr>
      <w:r>
        <w:rPr>
          <w:rFonts w:ascii="Calibri" w:cs="Calibri" w:eastAsia="Calibri" w:hAnsi="Calibri"/>
          <w:sz w:val="21"/>
          <w:szCs w:val="21"/>
        </w:rPr>
        <w:t xml:space="preserve">Dependent on countryside. A street with one tree, or a window, is the assumed setting.</w:t>
      </w:r>
    </w:p>
    <w:p>
      <w:pPr>
        <w:pStyle w:val="ListParagraph"/>
        <w:numPr>
          <w:ilvl w:val="0"/>
          <w:numId w:val="2"/>
        </w:numPr>
        <w:spacing w:after="90"/>
      </w:pPr>
      <w:r>
        <w:rPr>
          <w:rFonts w:ascii="Calibri" w:cs="Calibri" w:eastAsia="Calibri" w:hAnsi="Calibri"/>
          <w:sz w:val="21"/>
          <w:szCs w:val="21"/>
        </w:rPr>
        <w:t xml:space="preserve">Anything with completion: no progress bar, no lessons remaining, no streak. An invitation cannot be failed.</w:t>
      </w:r>
    </w:p>
    <w:p>
      <w:pPr>
        <w:pStyle w:val="ListParagraph"/>
        <w:numPr>
          <w:ilvl w:val="0"/>
          <w:numId w:val="2"/>
        </w:numPr>
        <w:spacing w:after="90"/>
      </w:pPr>
      <w:r>
        <w:rPr>
          <w:rFonts w:ascii="Calibri" w:cs="Calibri" w:eastAsia="Calibri" w:hAnsi="Calibri"/>
          <w:sz w:val="21"/>
          <w:szCs w:val="21"/>
        </w:rPr>
        <w:t xml:space="preserve">Addressed to a named mental health condition, or framed as therapy. See the Intended Purpose Statement.</w:t>
      </w:r>
    </w:p>
    <w:p>
      <w:pPr>
        <w:pStyle w:val="Heading2"/>
        <w:spacing w:after="140" w:before="300"/>
      </w:pPr>
      <w:r>
        <w:rPr>
          <w:rFonts w:ascii="Calibri" w:cs="Calibri" w:eastAsia="Calibri" w:hAnsi="Calibri"/>
        </w:rPr>
        <w:t xml:space="preserve">One open question</w:t>
      </w:r>
    </w:p>
    <w:p>
      <w:pPr>
        <w:spacing w:after="140"/>
      </w:pPr>
      <w:r>
        <w:rPr>
          <w:rFonts w:ascii="Calibri" w:cs="Calibri" w:eastAsia="Calibri" w:hAnsi="Calibri"/>
          <w:b/>
          <w:bCs/>
          <w:sz w:val="21"/>
          <w:szCs w:val="21"/>
        </w:rPr>
        <w:t xml:space="preserve">Does In Step end at people in general, or at one person? </w:t>
      </w:r>
      <w:r>
        <w:rPr>
          <w:rFonts w:ascii="Calibri" w:cs="Calibri" w:eastAsia="Calibri" w:hAnsi="Calibri"/>
          <w:sz w:val="21"/>
          <w:szCs w:val="21"/>
        </w:rPr>
        <w:t xml:space="preserve">“People” is easy to feel and changes nothing. A specific person somebody is finding hard to understand is much harder, and much likelier to be the thing that actually shifts. The chain's step 5 implies the general; its step 3 implies the particular. Recommend: the particular, reached late.</w:t>
      </w:r>
    </w:p>
    <w:p>
      <w:pPr>
        <w:spacing w:after="140"/>
      </w:pPr>
      <w:r>
        <w:rPr>
          <w:rFonts w:ascii="Calibri" w:cs="Calibri" w:eastAsia="Calibri" w:hAnsi="Calibri"/>
          <w:sz w:val="21"/>
          <w:szCs w:val="21"/>
        </w:rPr>
        <w:t xml:space="preserve"/>
      </w:r>
    </w:p>
    <w:p>
      <w:pPr>
        <w:spacing w:after="140"/>
      </w:pPr>
      <w:r>
        <w:rPr>
          <w:rFonts w:ascii="Calibri" w:cs="Calibri" w:eastAsia="Calibri" w:hAnsi="Calibri"/>
          <w:color w:val="5A6B75"/>
          <w:sz w:val="19"/>
          <w:szCs w:val="19"/>
        </w:rPr>
        <w:t xml:space="preserve">Build New Habits · 03 Sep 2026 v2</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2026-09-04T16:36:26.004Z</dcterms:created>
  <dcterms:modified xsi:type="dcterms:W3CDTF">2026-09-04T16:36:26.004Z</dcterms:modified>
</cp:coreProperties>
</file>

<file path=docProps/custom.xml><?xml version="1.0" encoding="utf-8"?>
<Properties xmlns="http://schemas.openxmlformats.org/officeDocument/2006/custom-properties" xmlns:vt="http://schemas.openxmlformats.org/officeDocument/2006/docPropsVTypes"/>
</file>