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2"/>
          <w:szCs w:val="22"/>
        </w:rPr>
        <w:t xml:space="preserve">BUILD NEW HABITS</w:t>
      </w:r>
    </w:p>
    <w:p>
      <w:pPr>
        <w:spacing w:after="60"/>
        <w:jc w:val="center"/>
      </w:pPr>
      <w:r>
        <w:rPr>
          <w:sz w:val="22"/>
          <w:szCs w:val="22"/>
        </w:rPr>
        <w:t xml:space="preserve">Alongside: Move</w:t>
      </w:r>
    </w:p>
    <w:p>
      <w:pPr>
        <w:spacing w:after="60"/>
        <w:jc w:val="center"/>
      </w:pPr>
      <w:r>
        <w:rPr>
          <w:b/>
          <w:bCs/>
          <w:sz w:val="32"/>
          <w:szCs w:val="32"/>
        </w:rPr>
        <w:t xml:space="preserve">Children’s Access Assessment</w:t>
      </w:r>
    </w:p>
    <w:p>
      <w:pPr>
        <w:spacing w:after="60"/>
        <w:jc w:val="center"/>
      </w:pPr>
      <w:r>
        <w:rPr>
          <w:b/>
          <w:bCs/>
          <w:sz w:val="24"/>
          <w:szCs w:val="24"/>
        </w:rPr>
        <w:t xml:space="preserve">28 Aug 2026 v1</w:t>
      </w:r>
    </w:p>
    <w:p>
      <w:pPr>
        <w:spacing w:after="240"/>
        <w:jc w:val="center"/>
      </w:pPr>
      <w:r>
        <w:rPr>
          <w:i/>
          <w:iCs/>
          <w:sz w:val="20"/>
          <w:szCs w:val="20"/>
        </w:rPr>
        <w:t xml:space="preserve">Whether Alongside: Move is likely to be accessed by children, assessed against the ICO Age Appropriate Design Code</w:t>
      </w:r>
    </w:p>
    <w:p>
      <w:pPr>
        <w:pBdr>
          <w:top w:val="single" w:color="B8860B" w:sz="4"/>
          <w:bottom w:val="single" w:color="B8860B" w:sz="4"/>
        </w:pBdr>
        <w:shd w:fill="FFF3CD" w:val="clear"/>
        <w:spacing w:after="240"/>
      </w:pPr>
      <w:r>
        <w:rPr>
          <w:sz w:val="18"/>
          <w:szCs w:val="18"/>
        </w:rPr>
        <w:t xml:space="preserve">DRAFT — prepared for Graeme Wright’s review and adoption, and for validation by Foot Anstey. Every product claim in this document is traceable to a code path, gate, or repository artefact, per the standing rule of 28 Aug 2026. Nothing here describes an intention as though it were a fact; where a control is built but not yet live, that is stated.</w:t>
      </w:r>
    </w:p>
    <w:p>
      <w:pPr>
        <w:pStyle w:val="Heading1"/>
        <w:spacing w:after="120" w:before="240"/>
      </w:pPr>
      <w:r>
        <w:t xml:space="preserve">1. Purpose and legal basis</w:t>
      </w:r>
    </w:p>
    <w:p>
      <w:pPr>
        <w:spacing w:after="120"/>
      </w:pPr>
      <w:r>
        <w:t xml:space="preserve">The ICO’s Age Appropriate Design Code (the Children’s Code) applies to information society services likely to be accessed by children under 18, whether or not the service is aimed at them. A service that concludes it is out of scope must be able to evidence that conclusion. The ICO’s position is that self-declaration of age is, on its own, unlikely to constitute effective age assurance — so the conclusion cannot rest on an age gate alone. It must rest on a documented, evidenced, periodically reviewed assessment of whether children are in fact likely to access the service. This document is that assessment.</w:t>
      </w:r>
    </w:p>
    <w:p>
      <w:pPr>
        <w:spacing w:after="120"/>
      </w:pPr>
      <w:r>
        <w:t xml:space="preserve">It records the evidence, the conclusion, the measures applied regardless of the conclusion, the known limits of those measures, and the review schedule. It is dated and version-controlled, and it will be re-run at each review point below.</w:t>
      </w:r>
    </w:p>
    <w:p>
      <w:pPr>
        <w:pStyle w:val="Heading1"/>
        <w:spacing w:after="120" w:before="240"/>
      </w:pPr>
      <w:r>
        <w:t xml:space="preserve">2. The service</w:t>
      </w:r>
    </w:p>
    <w:p>
      <w:pPr>
        <w:spacing w:after="120"/>
      </w:pPr>
      <w:r>
        <w:t xml:space="preserve">Alongside: Move is a movement and wellbeing coaching app (a progressive web app) built for adults who have been poorly served by mainstream fitness culture: people managing chronic conditions, people navigating hormonal change including menopause, and neurodivergent adults. It generates daily movement sessions adapted to self-reported energy, mood and pain. It is pre-beta; a closed beta opens mid-September 2026, a soft launch follows in December 2026, and public launch is planned for January 2027.</w:t>
      </w:r>
    </w:p>
    <w:p>
      <w:pPr>
        <w:pStyle w:val="Heading1"/>
        <w:spacing w:after="120" w:before="240"/>
      </w:pPr>
      <w:r>
        <w:t xml:space="preserve">3. The decision</w:t>
      </w:r>
    </w:p>
    <w:p>
      <w:pPr>
        <w:spacing w:after="120"/>
      </w:pPr>
      <w:r>
        <w:t xml:space="preserve">On 15 August 2026 the founder decided the product launches as 18+ (decision A1.11). This assessment documents why children are not, in fact, likely to access the service in more than negligible numbers, and what is in place regardless.</w:t>
      </w:r>
    </w:p>
    <w:p>
      <w:pPr>
        <w:pStyle w:val="Heading1"/>
        <w:spacing w:after="120" w:before="240"/>
      </w:pPr>
      <w:r>
        <w:t xml:space="preserve">4. Evidence</w:t>
      </w:r>
    </w:p>
    <w:p>
      <w:pPr>
        <w:spacing w:after="120"/>
      </w:pPr>
      <w:r>
        <w:t xml:space="preserve">Each item below is traceable to a repository artefact, checked on 28 August 2026 against the live main branch of build-new-habits/alongside-app.</w:t>
      </w:r>
    </w:p>
    <w:p>
      <w:pPr>
        <w:spacing w:after="120"/>
      </w:pPr>
      <w:r>
        <w:rPr>
          <w:b/>
          <w:bCs/>
        </w:rPr>
        <w:t xml:space="preserve">4.1 No under-18 pathway exists in the product’s own data model. </w:t>
      </w:r>
      <w:r>
        <w:t xml:space="preserve">The age question in onboarding (step 6) offers bands beginning at 18–24; there is deliberately no under-18 option. The field contract (js/data/field-contract.js, ageBand) records the permitted values as 18–24 through 75plus and “prefer not to say”, with the stated meaning: “Lowest is 18 because the product is 18+ — there is deliberately no under-18 option.” This is enforced vocabulary, gated by the product’s field-contract verification tooling, not marketing copy.</w:t>
      </w:r>
    </w:p>
    <w:p>
      <w:pPr>
        <w:spacing w:after="120"/>
      </w:pPr>
      <w:r>
        <w:rPr>
          <w:b/>
          <w:bCs/>
        </w:rPr>
        <w:t xml:space="preserve">4.2 An age-declaration gate at account creation is built and will be live before the beta opens. </w:t>
      </w:r>
      <w:r>
        <w:t xml:space="preserve">A date-of-birth check exists in the onboarding code (js/views/onboarding/thread.js) behind the constant AGE_GATE_ENABLED, which is currently false. It is stated plainly here, per the standing rule: the check is not running today. It will be enabled before any real user creates an account, and the privacy policy (v5, 28 Aug 2026) already describes it in those terms. Self-declaration is acknowledged as a weak control on its own; it is applied as a supplementary measure, not the basis of this assessment.</w:t>
      </w:r>
    </w:p>
    <w:p>
      <w:pPr>
        <w:spacing w:after="120"/>
      </w:pPr>
      <w:r>
        <w:rPr>
          <w:b/>
          <w:bCs/>
        </w:rPr>
        <w:t xml:space="preserve">4.3 The content register is adult. </w:t>
      </w:r>
      <w:r>
        <w:t xml:space="preserve">The product’s subject matter is chronic pain management, menopause and hormonal change, burnout, return from illness and injury, and adult clinical signposting — the safety copy routes users to a GP, a registered dietitian, NHS 111 and, for red-flag symptoms, emergency care. These are adult referral routes attached to adult health contexts. There is no content aimed at, styled for, or of natural interest to children.</w:t>
      </w:r>
    </w:p>
    <w:p>
      <w:pPr>
        <w:spacing w:after="120"/>
      </w:pPr>
      <w:r>
        <w:rPr>
          <w:b/>
          <w:bCs/>
        </w:rPr>
        <w:t xml:space="preserve">4.4 The product contains no child-appealing reward mechanics, by founding constraint. </w:t>
      </w:r>
      <w:r>
        <w:t xml:space="preserve">Streaks are prohibited absolutely (“never streaks, ever” — recorded as a founding constraint alongside the safety constraints). Badges, levels, unlocks, confetti, counts and congratulation mechanics are on the product’s banned-forms list, and verification gates in the repository fail the build if streak or countdown mechanics are introduced. The design register is quiet, text-led and adult. The features most strongly associated with child appeal in the ICO’s own guidance — reward loops, gamification, social comparison — are the features this product exists to refuse.</w:t>
      </w:r>
    </w:p>
    <w:p>
      <w:pPr>
        <w:spacing w:after="120"/>
      </w:pPr>
      <w:r>
        <w:rPr>
          <w:b/>
          <w:bCs/>
        </w:rPr>
        <w:t xml:space="preserve">4.5 There is no social surface. </w:t>
      </w:r>
      <w:r>
        <w:t xml:space="preserve">No chat, no profiles visible to others, no user-to-user contact of any kind. The journal is private by absolute rule, with no signal detection on its content.</w:t>
      </w:r>
    </w:p>
    <w:p>
      <w:pPr>
        <w:spacing w:after="120"/>
      </w:pPr>
      <w:r>
        <w:rPr>
          <w:b/>
          <w:bCs/>
        </w:rPr>
        <w:t xml:space="preserve">4.6 Payment and distribution point at adults. </w:t>
      </w:r>
      <w:r>
        <w:t xml:space="preserve">The paid tier is £7.99/month or £59.99/year (js/data/pricing.js), requiring a payment card. Acquisition is referral-led through physiotherapists, social prescribing link workers, occupational health and condition charities — adult clinical and workplace channels. The product is not distributed through app-store children’s categories and is not advertised in channels aimed at or frequented by children.</w:t>
      </w:r>
    </w:p>
    <w:p>
      <w:pPr>
        <w:spacing w:after="120"/>
      </w:pPr>
      <w:r>
        <w:rPr>
          <w:b/>
          <w:bCs/>
        </w:rPr>
        <w:t xml:space="preserve">4.7 Marketing describes an adult audience. </w:t>
      </w:r>
      <w:r>
        <w:t xml:space="preserve">The website (buildnewhabits.co.uk) addresses adults failed by fitness culture; its “who it’s for” page names adult life circumstances (menopause, chronic conditions, returning after illness).</w:t>
      </w:r>
    </w:p>
    <w:p>
      <w:pPr>
        <w:pStyle w:val="Heading1"/>
        <w:spacing w:after="120" w:before="240"/>
      </w:pPr>
      <w:r>
        <w:t xml:space="preserve">5. Assessment and conclusion</w:t>
      </w:r>
    </w:p>
    <w:p>
      <w:pPr>
        <w:spacing w:after="120"/>
      </w:pPr>
      <w:r>
        <w:t xml:space="preserve">Applying the ICO’s “likely to be accessed” test: the nature of the service, its content, its appeal, its distribution channels and its payment model all point away from child access. There is no feature, content area or channel that would draw children to the service, and several — the clinical adult content, the absence of any reward mechanics, the card-payment tier — that actively repel the possibility of more than incidental access.</w:t>
      </w:r>
    </w:p>
    <w:p>
      <w:pPr>
        <w:spacing w:after="120"/>
      </w:pPr>
      <w:r>
        <w:t xml:space="preserve">Conclusion: Alongside: Move is not likely to be accessed by children in more than negligible numbers. On that basis the Children’s Code’s standards are not treated as applying to this service. This conclusion is held under review as set out in section 7, and would be revisited immediately upon any material change in section 7’s trigger list.</w:t>
      </w:r>
    </w:p>
    <w:p>
      <w:pPr>
        <w:pStyle w:val="Heading1"/>
        <w:spacing w:after="120" w:before="240"/>
      </w:pPr>
      <w:r>
        <w:t xml:space="preserve">6. Measures applied regardless of the conclusion</w:t>
      </w:r>
    </w:p>
    <w:p>
      <w:pPr>
        <w:pStyle w:val="ListParagraph"/>
        <w:numPr>
          <w:ilvl w:val="0"/>
          <w:numId w:val="2"/>
        </w:numPr>
        <w:spacing w:after="60"/>
      </w:pPr>
      <w:r>
        <w:t xml:space="preserve">18+ stated in the Terms of Service and Privacy Policy (subject to the A1.11 alignment currently in progress across documents).</w:t>
      </w:r>
    </w:p>
    <w:p>
      <w:pPr>
        <w:pStyle w:val="ListParagraph"/>
        <w:numPr>
          <w:ilvl w:val="0"/>
          <w:numId w:val="2"/>
        </w:numPr>
        <w:spacing w:after="60"/>
      </w:pPr>
      <w:r>
        <w:t xml:space="preserve">Age-declaration gate at account creation, enabled before beta (section 4.2).</w:t>
      </w:r>
    </w:p>
    <w:p>
      <w:pPr>
        <w:pStyle w:val="ListParagraph"/>
        <w:numPr>
          <w:ilvl w:val="0"/>
          <w:numId w:val="2"/>
        </w:numPr>
        <w:spacing w:after="60"/>
      </w:pPr>
      <w:r>
        <w:t xml:space="preserve">Age bands in-product begin at 18, with no under-18 vocabulary anywhere in the data model.</w:t>
      </w:r>
    </w:p>
    <w:p>
      <w:pPr>
        <w:pStyle w:val="ListParagraph"/>
        <w:numPr>
          <w:ilvl w:val="0"/>
          <w:numId w:val="2"/>
        </w:numPr>
        <w:spacing w:after="60"/>
      </w:pPr>
      <w:r>
        <w:t xml:space="preserve">If an account is identified as belonging to a person under 18, it is closed and its data erased.</w:t>
      </w:r>
    </w:p>
    <w:p>
      <w:pPr>
        <w:pStyle w:val="Heading1"/>
        <w:spacing w:after="120" w:before="240"/>
      </w:pPr>
      <w:r>
        <w:t xml:space="preserve">7. Review schedule and triggers</w:t>
      </w:r>
    </w:p>
    <w:p>
      <w:pPr>
        <w:spacing w:after="120"/>
      </w:pPr>
      <w:r>
        <w:t xml:space="preserve">This assessment is re-run and re-dated: at beta close (target end October 2026); before public launch (January 2027); every six months thereafter; and immediately on any of the following triggers:</w:t>
      </w:r>
    </w:p>
    <w:p>
      <w:pPr>
        <w:pStyle w:val="ListParagraph"/>
        <w:numPr>
          <w:ilvl w:val="0"/>
          <w:numId w:val="2"/>
        </w:numPr>
        <w:spacing w:after="60"/>
      </w:pPr>
      <w:r>
        <w:t xml:space="preserve">Distribution through any app store or any channel with a substantial child audience.</w:t>
      </w:r>
    </w:p>
    <w:p>
      <w:pPr>
        <w:pStyle w:val="ListParagraph"/>
        <w:numPr>
          <w:ilvl w:val="0"/>
          <w:numId w:val="2"/>
        </w:numPr>
        <w:spacing w:after="60"/>
      </w:pPr>
      <w:r>
        <w:t xml:space="preserve">Any marketing change directed at schools, families, or youth settings.</w:t>
      </w:r>
    </w:p>
    <w:p>
      <w:pPr>
        <w:pStyle w:val="ListParagraph"/>
        <w:numPr>
          <w:ilvl w:val="0"/>
          <w:numId w:val="2"/>
        </w:numPr>
        <w:spacing w:after="60"/>
      </w:pPr>
      <w:r>
        <w:t xml:space="preserve">Any social, community, or user-to-user feature being added.</w:t>
      </w:r>
    </w:p>
    <w:p>
      <w:pPr>
        <w:pStyle w:val="ListParagraph"/>
        <w:numPr>
          <w:ilvl w:val="0"/>
          <w:numId w:val="2"/>
        </w:numPr>
        <w:spacing w:after="60"/>
      </w:pPr>
      <w:r>
        <w:t xml:space="preserve">Launch preparation for Alongside: Learn, which is intended for use by children and requires its own, entirely separate compliance workstream — nothing in this assessment carries over to it.</w:t>
      </w:r>
    </w:p>
    <w:p>
      <w:pPr>
        <w:pStyle w:val="Heading1"/>
        <w:spacing w:after="120" w:before="240"/>
      </w:pPr>
      <w:r>
        <w:t xml:space="preserve">8. Questions for legal review</w:t>
      </w:r>
    </w:p>
    <w:p>
      <w:pPr>
        <w:pStyle w:val="ListParagraph"/>
        <w:numPr>
          <w:ilvl w:val="0"/>
          <w:numId w:val="2"/>
        </w:numPr>
        <w:spacing w:after="60"/>
      </w:pPr>
      <w:r>
        <w:t xml:space="preserve">Does this assessment, in this form, satisfy the ICO’s expectation of a documented access assessment such that the Children’s Code is out of scope? (Flagged 28 Aug 2026 as the highest-priority age-assurance question.)</w:t>
      </w:r>
    </w:p>
    <w:p>
      <w:pPr>
        <w:pStyle w:val="ListParagraph"/>
        <w:numPr>
          <w:ilvl w:val="0"/>
          <w:numId w:val="2"/>
        </w:numPr>
        <w:spacing w:after="60"/>
      </w:pPr>
      <w:r>
        <w:t xml:space="preserve">Is self-declaration at account creation, as a supplementary measure on top of this assessment, proportionate for this risk profile — or is more expected given the special category data processed?</w:t>
      </w:r>
    </w:p>
    <w:p>
      <w:pPr>
        <w:pStyle w:val="Heading1"/>
        <w:spacing w:after="120" w:before="240"/>
      </w:pPr>
      <w:r>
        <w:t xml:space="preserve">9. Sign-off</w:t>
      </w:r>
    </w:p>
    <w:p>
      <w:pPr>
        <w:spacing w:after="120"/>
      </w:pPr>
      <w:r>
        <w:t xml:space="preserve">Assessed and adopted by: Graeme Wright, founder, Build New Habits (sole trader).</w:t>
      </w:r>
    </w:p>
    <w:p>
      <w:pPr>
        <w:spacing w:after="120"/>
      </w:pPr>
      <w:r>
        <w:t xml:space="preserve">Date: ____________________  Signature: ____________________</w:t>
      </w:r>
    </w:p>
    <w:p>
      <w:pPr>
        <w:spacing w:after="120"/>
      </w:pPr>
      <w:r>
        <w:rPr>
          <w:i/>
          <w:iCs/>
        </w:rPr>
        <w:t xml:space="preserve">Next scheduled review: at beta close, target end October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2026-08-28T16:00:38.460Z</dcterms:created>
  <dcterms:modified xsi:type="dcterms:W3CDTF">2026-08-28T16:00:38.475Z</dcterms:modified>
</cp:coreProperties>
</file>

<file path=docProps/custom.xml><?xml version="1.0" encoding="utf-8"?>
<Properties xmlns="http://schemas.openxmlformats.org/officeDocument/2006/custom-properties" xmlns:vt="http://schemas.openxmlformats.org/officeDocument/2006/docPropsVTypes"/>
</file>