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 w:lineRule="auto"/>
      </w:pPr>
      <w:r>
        <w:rPr>
          <w:rFonts w:ascii="Nunito Sans" w:cs="Nunito Sans" w:eastAsia="Nunito Sans" w:hAnsi="Nunito Sans"/>
          <w:color w:val="1F1F1F"/>
          <w:sz w:val="21"/>
          <w:szCs w:val="21"/>
        </w:rPr>
        <w:t xml:space="preserve">Name der Empfängerin oder des Empfängers</w:t>
      </w:r>
    </w:p>
    <w:p>
      <w:pPr>
        <w:spacing w:after="0" w:before="0" w:line="276" w:lineRule="auto"/>
      </w:pPr>
      <w:r>
        <w:rPr>
          <w:rFonts w:ascii="Nunito Sans" w:cs="Nunito Sans" w:eastAsia="Nunito Sans" w:hAnsi="Nunito Sans"/>
          <w:color w:val="3F3F3F"/>
          <w:sz w:val="21"/>
          <w:szCs w:val="21"/>
        </w:rPr>
        <w:t xml:space="preserve">Organisation</w:t>
      </w:r>
    </w:p>
    <w:p>
      <w:pPr>
        <w:spacing w:after="0" w:before="0" w:line="276" w:lineRule="auto"/>
      </w:pPr>
      <w:r>
        <w:rPr>
          <w:rFonts w:ascii="Nunito Sans" w:cs="Nunito Sans" w:eastAsia="Nunito Sans" w:hAnsi="Nunito Sans"/>
          <w:color w:val="3F3F3F"/>
          <w:sz w:val="21"/>
          <w:szCs w:val="21"/>
        </w:rPr>
        <w:t xml:space="preserve">Strasse und Nummer</w:t>
      </w:r>
    </w:p>
    <w:p>
      <w:pPr>
        <w:spacing w:after="0" w:before="0" w:line="276" w:lineRule="auto"/>
      </w:pPr>
      <w:r>
        <w:rPr>
          <w:rFonts w:ascii="Nunito Sans" w:cs="Nunito Sans" w:eastAsia="Nunito Sans" w:hAnsi="Nunito Sans"/>
          <w:color w:val="3F3F3F"/>
          <w:sz w:val="21"/>
          <w:szCs w:val="21"/>
        </w:rPr>
        <w:t xml:space="preserve">0000 Ort</w:t>
      </w:r>
    </w:p>
    <w:p>
      <w:pPr>
        <w:spacing w:after="360"/>
      </w:pPr>
      <w:r>
        <w:rPr>
          <w:rFonts w:ascii="Nunito Sans" w:cs="Nunito Sans" w:eastAsia="Nunito Sans" w:hAnsi="Nunito Sans"/>
          <w:color w:val="3F3F3F"/>
          <w:sz w:val="21"/>
          <w:szCs w:val="21"/>
        </w:rPr>
        <w:t xml:space="preserve"/>
      </w:r>
    </w:p>
    <w:tbl>
      <w:tblPr>
        <w:tblW w:type="dxa" w:w="45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47"/>
        <w:gridCol w:w="3288"/>
      </w:tblGrid>
      <w:tr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60"/>
            </w:pPr>
            <w:r>
              <w:rPr>
                <w:rFonts w:ascii="IBM Plex Mono" w:cs="IBM Plex Mono" w:eastAsia="IBM Plex Mono" w:hAnsi="IBM Plex Mono"/>
                <w:color w:val="6D6D6D"/>
                <w:spacing w:val="5"/>
                <w:sz w:val="16"/>
                <w:szCs w:val="16"/>
              </w:rPr>
              <w:t xml:space="preserve">DATUM</w:t>
            </w:r>
          </w:p>
        </w:tc>
        <w:tc>
          <w:tcPr>
            <w:tcW w:type="dxa" w:w="3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60"/>
            </w:pPr>
            <w:r>
              <w:rPr>
                <w:rFonts w:ascii="IBM Plex Mono" w:cs="IBM Plex Mono" w:eastAsia="IBM Plex Mono" w:hAnsi="IBM Plex Mono"/>
                <w:color w:val="1F1F1F"/>
                <w:spacing w:val="5"/>
                <w:sz w:val="17"/>
                <w:szCs w:val="17"/>
              </w:rPr>
              <w:t xml:space="preserve">Bern, 2026-10-27</w:t>
            </w:r>
          </w:p>
        </w:tc>
      </w:tr>
      <w:tr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60"/>
            </w:pPr>
            <w:r>
              <w:rPr>
                <w:rFonts w:ascii="IBM Plex Mono" w:cs="IBM Plex Mono" w:eastAsia="IBM Plex Mono" w:hAnsi="IBM Plex Mono"/>
                <w:color w:val="6D6D6D"/>
                <w:spacing w:val="5"/>
                <w:sz w:val="16"/>
                <w:szCs w:val="16"/>
              </w:rPr>
              <w:t xml:space="preserve">REFERENZ</w:t>
            </w:r>
          </w:p>
        </w:tc>
        <w:tc>
          <w:tcPr>
            <w:tcW w:type="dxa" w:w="3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60"/>
            </w:pPr>
            <w:r>
              <w:rPr>
                <w:rFonts w:ascii="IBM Plex Mono" w:cs="IBM Plex Mono" w:eastAsia="IBM Plex Mono" w:hAnsi="IBM Plex Mono"/>
                <w:color w:val="1F1F1F"/>
                <w:spacing w:val="5"/>
                <w:sz w:val="17"/>
                <w:szCs w:val="17"/>
              </w:rPr>
              <w:t xml:space="preserve">BAC-2026-001</w:t>
            </w:r>
          </w:p>
        </w:tc>
      </w:tr>
      <w:tr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60"/>
            </w:pPr>
            <w:r>
              <w:rPr>
                <w:rFonts w:ascii="IBM Plex Mono" w:cs="IBM Plex Mono" w:eastAsia="IBM Plex Mono" w:hAnsi="IBM Plex Mono"/>
                <w:color w:val="6D6D6D"/>
                <w:spacing w:val="5"/>
                <w:sz w:val="16"/>
                <w:szCs w:val="16"/>
              </w:rPr>
              <w:t xml:space="preserve">KONTAKT</w:t>
            </w:r>
          </w:p>
        </w:tc>
        <w:tc>
          <w:tcPr>
            <w:tcW w:type="dxa" w:w="3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60"/>
            </w:pPr>
            <w:r>
              <w:rPr>
                <w:rFonts w:ascii="IBM Plex Mono" w:cs="IBM Plex Mono" w:eastAsia="IBM Plex Mono" w:hAnsi="IBM Plex Mono"/>
                <w:color w:val="1F1F1F"/>
                <w:spacing w:val="5"/>
                <w:sz w:val="17"/>
                <w:szCs w:val="17"/>
              </w:rPr>
              <w:t xml:space="preserve">hello@buildacubesat.space</w:t>
            </w:r>
          </w:p>
        </w:tc>
      </w:tr>
    </w:tbl>
    <w:p>
      <w:pPr>
        <w:spacing w:after="60" w:before="480"/>
      </w:pPr>
      <w:r>
        <w:drawing>
          <wp:inline distT="0" distB="0" distL="0" distR="0">
            <wp:extent cx="171450" cy="38100"/>
            <wp:effectExtent t="0" r="0" b="0" l="0"/>
            <wp:docPr id="4" name="kic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BM Plex Mono" w:cs="IBM Plex Mono" w:eastAsia="IBM Plex Mono" w:hAnsi="IBM Plex Mono"/>
          <w:b/>
          <w:bCs/>
          <w:color w:val="1F1F1F"/>
          <w:spacing w:val="5"/>
          <w:sz w:val="16"/>
          <w:szCs w:val="16"/>
        </w:rPr>
        <w:t xml:space="preserve">  OFFERTE · DEV KIT V1</w:t>
      </w:r>
    </w:p>
    <w:p>
      <w:pPr>
        <w:spacing w:after="300"/>
      </w:pPr>
      <w:r>
        <w:rPr>
          <w:rFonts w:ascii="Nunito Sans" w:cs="Nunito Sans" w:eastAsia="Nunito Sans" w:hAnsi="Nunito Sans"/>
          <w:color w:val="1F1F1F"/>
          <w:sz w:val="28"/>
          <w:szCs w:val="28"/>
        </w:rPr>
        <w:t xml:space="preserve">Betreff in einem Satz</w:t>
      </w:r>
    </w:p>
    <w:p>
      <w:pPr>
        <w:spacing w:after="180" w:line="300" w:lineRule="auto"/>
      </w:pPr>
      <w:r>
        <w:rPr>
          <w:rFonts w:ascii="Nunito Sans" w:cs="Nunito Sans" w:eastAsia="Nunito Sans" w:hAnsi="Nunito Sans"/>
          <w:color w:val="3F3F3F"/>
          <w:sz w:val="21"/>
          <w:szCs w:val="21"/>
        </w:rPr>
        <w:t xml:space="preserve">Guten Tag</w:t>
      </w:r>
    </w:p>
    <w:p>
      <w:pPr>
        <w:spacing w:after="180" w:line="300" w:lineRule="auto"/>
      </w:pPr>
      <w:r>
        <w:rPr>
          <w:rFonts w:ascii="Nunito Sans" w:cs="Nunito Sans" w:eastAsia="Nunito Sans" w:hAnsi="Nunito Sans"/>
          <w:color w:val="3F3F3F"/>
          <w:sz w:val="21"/>
          <w:szCs w:val="21"/>
        </w:rPr>
        <w:t xml:space="preserve">Der erste Satz nennt den Grund des Schreibens: was geschehen ist, was gebraucht wird oder was bestätigt wird. So kennt die Leserin den Zweck, bevor der zweite Absatz beginnt.</w:t>
      </w:r>
    </w:p>
    <w:p>
      <w:pPr>
        <w:spacing w:after="180" w:line="300" w:lineRule="auto"/>
      </w:pPr>
      <w:r>
        <w:rPr>
          <w:rFonts w:ascii="Nunito Sans" w:cs="Nunito Sans" w:eastAsia="Nunito Sans" w:hAnsi="Nunito Sans"/>
          <w:color w:val="3F3F3F"/>
          <w:sz w:val="21"/>
          <w:szCs w:val="21"/>
        </w:rPr>
        <w:t xml:space="preserve">Der Mittelteil trägt die Einzelheiten: Daten, Teilenummern, Stückzahlen, Lieferfenster. Ein Gedanke pro Absatz; alles ausschreiben, was sonst nachgeschlagen werden müsste.</w:t>
      </w:r>
    </w:p>
    <w:p>
      <w:pPr>
        <w:spacing w:after="180" w:line="300" w:lineRule="auto"/>
      </w:pPr>
      <w:r>
        <w:rPr>
          <w:rFonts w:ascii="Nunito Sans" w:cs="Nunito Sans" w:eastAsia="Nunito Sans" w:hAnsi="Nunito Sans"/>
          <w:color w:val="3F3F3F"/>
          <w:sz w:val="21"/>
          <w:szCs w:val="21"/>
        </w:rPr>
        <w:t xml:space="preserve">Der Schluss nennt den nächsten Schritt und wer ihn verantwortet, mit Datum, wo eines gilt.</w:t>
      </w:r>
    </w:p>
    <w:p>
      <w:pPr>
        <w:spacing w:after="480" w:before="120"/>
      </w:pPr>
      <w:r>
        <w:rPr>
          <w:rFonts w:ascii="Nunito Sans" w:cs="Nunito Sans" w:eastAsia="Nunito Sans" w:hAnsi="Nunito Sans"/>
          <w:color w:val="3F3F3F"/>
          <w:sz w:val="21"/>
          <w:szCs w:val="21"/>
        </w:rPr>
        <w:t xml:space="preserve">Freundliche Grüsse</w:t>
      </w:r>
    </w:p>
    <w:p>
      <w:pPr>
        <w:spacing w:after="0" w:before="0" w:line="276" w:lineRule="auto"/>
      </w:pPr>
      <w:r>
        <w:rPr>
          <w:rFonts w:ascii="Nunito Sans" w:cs="Nunito Sans" w:eastAsia="Nunito Sans" w:hAnsi="Nunito Sans"/>
          <w:color w:val="1F1F1F"/>
          <w:sz w:val="21"/>
          <w:szCs w:val="21"/>
        </w:rPr>
        <w:t xml:space="preserve">Name</w:t>
      </w:r>
    </w:p>
    <w:p>
      <w:pPr>
        <w:spacing w:after="0" w:before="0" w:line="276" w:lineRule="auto"/>
      </w:pPr>
      <w:r>
        <w:rPr>
          <w:rFonts w:ascii="IBM Plex Mono" w:cs="IBM Plex Mono" w:eastAsia="IBM Plex Mono" w:hAnsi="IBM Plex Mono"/>
          <w:color w:val="6D6D6D"/>
          <w:spacing w:val="5"/>
          <w:sz w:val="16"/>
          <w:szCs w:val="16"/>
        </w:rPr>
        <w:t xml:space="preserve">FUNKTION, BUILD A CUBESAT</w:t>
      </w:r>
    </w:p>
    <w:sectPr>
      <w:headerReference w:type="default" r:id="rId6"/>
      <w:footerReference w:type="default" r:id="rId7"/>
      <w:pgSz w:w="11907" w:h="16839" w:orient="portrait"/>
      <w:pgMar w:top="2721" w:right="1134" w:bottom="1587" w:left="1134" w:header="793" w:footer="6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D0D0D0" w:sz="4" w:space="1"/>
      </w:pBdr>
      <w:spacing w:after="120"/>
    </w:pPr>
    <w:r>
      <w:rPr>
        <w:rFonts w:ascii="IBM Plex Mono" w:cs="IBM Plex Mono" w:eastAsia="IBM Plex Mono" w:hAnsi="IBM Plex Mono"/>
        <w:color w:val="6D6D6D"/>
        <w:spacing w:val="5"/>
        <w:sz w:val="4"/>
        <w:szCs w:val="4"/>
      </w:rPr>
      <w:t xml:space="preserve"/>
    </w:r>
  </w:p>
  <w:tbl>
    <w:tblPr>
      <w:tblW w:type="dxa" w:w="9639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8278"/>
      <w:gridCol w:w="1360"/>
    </w:tblGrid>
    <w:tr>
      <w:tc>
        <w:tcPr>
          <w:tcW w:type="dxa" w:w="82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76" w:lineRule="auto"/>
          </w:pPr>
          <w:r>
            <w:rPr>
              <w:rFonts w:ascii="IBM Plex Mono" w:cs="IBM Plex Mono" w:eastAsia="IBM Plex Mono" w:hAnsi="IBM Plex Mono"/>
              <w:color w:val="6D6D6D"/>
              <w:spacing w:val="5"/>
              <w:sz w:val="16"/>
              <w:szCs w:val="16"/>
            </w:rPr>
            <w:t xml:space="preserve">hello@buildacubesat.space · buildacubesat.space · +41 31 561 93 45</w:t>
          </w:r>
        </w:p>
        <w:p>
          <w:pPr>
            <w:spacing w:after="0" w:before="0" w:line="276" w:lineRule="auto"/>
          </w:pPr>
          <w:r>
            <w:rPr>
              <w:rFonts w:ascii="IBM Plex Mono" w:cs="IBM Plex Mono" w:eastAsia="IBM Plex Mono" w:hAnsi="IBM Plex Mono"/>
              <w:color w:val="6D6D6D"/>
              <w:spacing w:val="5"/>
              <w:sz w:val="16"/>
              <w:szCs w:val="16"/>
            </w:rPr>
            <w:t xml:space="preserve">UID CHE-172.893.875</w:t>
          </w:r>
        </w:p>
      </w:tc>
      <w:tc>
        <w:tcPr>
          <w:tcW w:type="dxa" w:w="1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76" w:lineRule="auto"/>
            <w:jc w:val="right"/>
          </w:pPr>
          <w:r>
            <w:rPr>
              <w:rFonts w:ascii="IBM Plex Mono" w:cs="IBM Plex Mono" w:eastAsia="IBM Plex Mono" w:hAnsi="IBM Plex Mono"/>
              <w:color w:val="6D6D6D"/>
              <w:spacing w:val="5"/>
              <w:sz w:val="16"/>
              <w:szCs w:val="16"/>
            </w:rPr>
            <w:t xml:space="preserve">Seite </w:t>
          </w:r>
          <w:r>
            <w:rPr>
              <w:rFonts w:ascii="IBM Plex Mono" w:cs="IBM Plex Mono" w:eastAsia="IBM Plex Mono" w:hAnsi="IBM Plex Mono"/>
              <w:color w:val="6D6D6D"/>
              <w:sz w:val="16"/>
              <w:szCs w:val="16"/>
            </w:rPr>
            <w:fldChar w:fldCharType="begin"/>
          </w:r>
          <w:r>
            <w:rPr>
              <w:rFonts w:ascii="IBM Plex Mono" w:cs="IBM Plex Mono" w:eastAsia="IBM Plex Mono" w:hAnsi="IBM Plex Mono"/>
              <w:color w:val="6D6D6D"/>
              <w:sz w:val="16"/>
              <w:szCs w:val="16"/>
            </w:rPr>
            <w:instrText xml:space="preserve">PAGE</w:instrText>
          </w:r>
          <w:r>
            <w:rPr>
              <w:rFonts w:ascii="IBM Plex Mono" w:cs="IBM Plex Mono" w:eastAsia="IBM Plex Mono" w:hAnsi="IBM Plex Mono"/>
              <w:color w:val="6D6D6D"/>
              <w:sz w:val="16"/>
              <w:szCs w:val="16"/>
            </w:rPr>
            <w:fldChar w:fldCharType="separate"/>
          </w:r>
          <w:r>
            <w:rPr>
              <w:rFonts w:ascii="IBM Plex Mono" w:cs="IBM Plex Mono" w:eastAsia="IBM Plex Mono" w:hAnsi="IBM Plex Mono"/>
              <w:color w:val="6D6D6D"/>
              <w:sz w:val="16"/>
              <w:szCs w:val="16"/>
            </w:rPr>
            <w:fldChar w:fldCharType="end"/>
          </w:r>
          <w:r>
            <w:rPr>
              <w:rFonts w:ascii="IBM Plex Mono" w:cs="IBM Plex Mono" w:eastAsia="IBM Plex Mono" w:hAnsi="IBM Plex Mono"/>
              <w:color w:val="6D6D6D"/>
              <w:spacing w:val="5"/>
              <w:sz w:val="16"/>
              <w:szCs w:val="16"/>
            </w:rPr>
            <w:t xml:space="preserve"> von </w:t>
          </w:r>
          <w:r>
            <w:rPr>
              <w:rFonts w:ascii="IBM Plex Mono" w:cs="IBM Plex Mono" w:eastAsia="IBM Plex Mono" w:hAnsi="IBM Plex Mono"/>
              <w:color w:val="6D6D6D"/>
              <w:sz w:val="16"/>
              <w:szCs w:val="16"/>
            </w:rPr>
            <w:fldChar w:fldCharType="begin"/>
          </w:r>
          <w:r>
            <w:rPr>
              <w:rFonts w:ascii="IBM Plex Mono" w:cs="IBM Plex Mono" w:eastAsia="IBM Plex Mono" w:hAnsi="IBM Plex Mono"/>
              <w:color w:val="6D6D6D"/>
              <w:sz w:val="16"/>
              <w:szCs w:val="16"/>
            </w:rPr>
            <w:instrText xml:space="preserve">NUMPAGES</w:instrText>
          </w:r>
          <w:r>
            <w:rPr>
              <w:rFonts w:ascii="IBM Plex Mono" w:cs="IBM Plex Mono" w:eastAsia="IBM Plex Mono" w:hAnsi="IBM Plex Mono"/>
              <w:color w:val="6D6D6D"/>
              <w:sz w:val="16"/>
              <w:szCs w:val="16"/>
            </w:rPr>
            <w:fldChar w:fldCharType="separate"/>
          </w:r>
          <w:r>
            <w:rPr>
              <w:rFonts w:ascii="IBM Plex Mono" w:cs="IBM Plex Mono" w:eastAsia="IBM Plex Mono" w:hAnsi="IBM Plex Mono"/>
              <w:color w:val="6D6D6D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9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5670"/>
      <w:gridCol w:w="3969"/>
    </w:tblGrid>
    <w:tr>
      <w:tc>
        <w:tcPr>
          <w:tcW w:type="dxa" w:w="567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76" w:lineRule="auto"/>
          </w:pPr>
          <w:r>
            <w:drawing>
              <wp:inline distT="0" distB="0" distL="0" distR="0">
                <wp:extent cx="1438275" cy="604675"/>
                <wp:effectExtent t="0" r="0" b="0" l="0"/>
                <wp:docPr id="3" name="bac-logo" descr="Build a CubeSat logo" title="Build a CubeSa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8275" cy="604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6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76" w:lineRule="auto"/>
            <w:jc w:val="right"/>
          </w:pPr>
          <w:r>
            <w:rPr>
              <w:rFonts w:ascii="IBM Plex Mono" w:cs="IBM Plex Mono" w:eastAsia="IBM Plex Mono" w:hAnsi="IBM Plex Mono"/>
              <w:color w:val="1F1F1F"/>
              <w:spacing w:val="5"/>
              <w:sz w:val="16"/>
              <w:szCs w:val="16"/>
            </w:rPr>
            <w:t xml:space="preserve">Build a CubeSat</w:t>
          </w:r>
        </w:p>
        <w:p>
          <w:pPr>
            <w:spacing w:after="0" w:before="0" w:line="276" w:lineRule="auto"/>
            <w:jc w:val="right"/>
          </w:pPr>
          <w:r>
            <w:rPr>
              <w:rFonts w:ascii="IBM Plex Mono" w:cs="IBM Plex Mono" w:eastAsia="IBM Plex Mono" w:hAnsi="IBM Plex Mono"/>
              <w:color w:val="6D6D6D"/>
              <w:spacing w:val="5"/>
              <w:sz w:val="16"/>
              <w:szCs w:val="16"/>
            </w:rPr>
            <w:t xml:space="preserve">c/o nihil.space GmbH</w:t>
          </w:r>
        </w:p>
        <w:p>
          <w:pPr>
            <w:spacing w:after="0" w:before="0" w:line="276" w:lineRule="auto"/>
            <w:jc w:val="right"/>
          </w:pPr>
          <w:r>
            <w:rPr>
              <w:rFonts w:ascii="IBM Plex Mono" w:cs="IBM Plex Mono" w:eastAsia="IBM Plex Mono" w:hAnsi="IBM Plex Mono"/>
              <w:color w:val="6D6D6D"/>
              <w:spacing w:val="5"/>
              <w:sz w:val="16"/>
              <w:szCs w:val="16"/>
            </w:rPr>
            <w:t xml:space="preserve">Egghölzlistrasse 20</w:t>
          </w:r>
        </w:p>
        <w:p>
          <w:pPr>
            <w:spacing w:after="0" w:before="0" w:line="276" w:lineRule="auto"/>
            <w:jc w:val="right"/>
          </w:pPr>
          <w:r>
            <w:rPr>
              <w:rFonts w:ascii="IBM Plex Mono" w:cs="IBM Plex Mono" w:eastAsia="IBM Plex Mono" w:hAnsi="IBM Plex Mono"/>
              <w:color w:val="6D6D6D"/>
              <w:spacing w:val="5"/>
              <w:sz w:val="16"/>
              <w:szCs w:val="16"/>
            </w:rPr>
            <w:t xml:space="preserve">3006 Bern, Schweiz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 Sans" w:cs="Nunito Sans" w:eastAsia="Nunito Sans" w:hAnsi="Nunito Sans"/>
        <w:color w:val="3F3F3F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275eb7f688d8ef3bc1b380e3855cf3a4b5514ab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762f00142e17eae278c12d317bdb5e112f40dd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a CubeSat Briefpapier v1r1 (Deutsch)</dc:title>
  <dc:creator>nihil.space GmbH</dc:creator>
  <dc:description>Build a CubeSat letterhead v1r1. The logo is a BAC Mark of nihil.space GmbH (BAC Trademark Policy).</dc:description>
  <cp:lastModifiedBy>Un-named</cp:lastModifiedBy>
  <cp:revision>1</cp:revision>
  <dcterms:created xsi:type="dcterms:W3CDTF">2026-10-27T21:02:06.982Z</dcterms:created>
  <dcterms:modified xsi:type="dcterms:W3CDTF">2026-10-27T21:02:06.982Z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