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3F41" w14:textId="77777777" w:rsidR="00311DCF" w:rsidRPr="00311DCF" w:rsidRDefault="00311DCF" w:rsidP="00311DCF">
      <w:r w:rsidRPr="00311DCF">
        <w:t>I have replaced the plain text specifications inside the </w:t>
      </w:r>
      <w:r w:rsidRPr="00311DCF">
        <w:rPr>
          <w:b/>
          <w:bCs/>
        </w:rPr>
        <w:t>Power BI Mandate Dashboard Simulator</w:t>
      </w:r>
      <w:r w:rsidRPr="00311DCF">
        <w:t> with </w:t>
      </w:r>
      <w:r w:rsidRPr="00311DCF">
        <w:rPr>
          <w:b/>
          <w:bCs/>
        </w:rPr>
        <w:t>actual, interactive, animated charts</w:t>
      </w:r>
      <w:r w:rsidRPr="00311DCF">
        <w:t> using </w:t>
      </w:r>
      <w:r w:rsidRPr="00311DCF">
        <w:rPr>
          <w:b/>
          <w:bCs/>
        </w:rPr>
        <w:t>Chart.js</w:t>
      </w:r>
      <w:r w:rsidRPr="00311DCF">
        <w:t>!</w:t>
      </w:r>
    </w:p>
    <w:p w14:paraId="13B173B6" w14:textId="77777777" w:rsidR="00311DCF" w:rsidRPr="00311DCF" w:rsidRDefault="00311DCF" w:rsidP="00311DCF">
      <w:r w:rsidRPr="00311DCF">
        <w:t xml:space="preserve">The charts now render in real time when you load the scorecard in your browser, using the custom corporate </w:t>
      </w:r>
      <w:proofErr w:type="spellStart"/>
      <w:r w:rsidRPr="00311DCF">
        <w:t>colors</w:t>
      </w:r>
      <w:proofErr w:type="spellEnd"/>
      <w:r w:rsidRPr="00311DCF">
        <w:t xml:space="preserve"> (Crimson Red, Cyber Gold, Mint Green, and Deep Slate) defined in your styling system.</w:t>
      </w:r>
    </w:p>
    <w:p w14:paraId="19B0D174" w14:textId="77777777" w:rsidR="00311DCF" w:rsidRPr="00311DCF" w:rsidRDefault="00311DCF" w:rsidP="00311DCF">
      <w:r w:rsidRPr="00311DCF">
        <w:t>Here is a breakdown of the new visual charts active on each tab page:</w:t>
      </w:r>
    </w:p>
    <w:p w14:paraId="2F601BCB" w14:textId="77777777" w:rsidR="00311DCF" w:rsidRPr="00311DCF" w:rsidRDefault="00311DCF" w:rsidP="00311DCF">
      <w:r w:rsidRPr="00311DCF">
        <w:rPr>
          <w:rFonts w:ascii="Segoe UI Emoji" w:hAnsi="Segoe UI Emoji" w:cs="Segoe UI Emoji"/>
        </w:rPr>
        <w:t>📊</w:t>
      </w:r>
      <w:r w:rsidRPr="00311DCF">
        <w:t xml:space="preserve"> Page 1: Executive Summary</w:t>
      </w:r>
    </w:p>
    <w:p w14:paraId="15170D9F" w14:textId="77777777" w:rsidR="00311DCF" w:rsidRPr="00311DCF" w:rsidRDefault="00311DCF" w:rsidP="00311DCF">
      <w:pPr>
        <w:numPr>
          <w:ilvl w:val="0"/>
          <w:numId w:val="1"/>
        </w:numPr>
      </w:pPr>
      <w:r w:rsidRPr="00311DCF">
        <w:rPr>
          <w:b/>
          <w:bCs/>
        </w:rPr>
        <w:t>Sales Realization &amp; Deductions Waterfall</w:t>
      </w:r>
      <w:r w:rsidRPr="00311DCF">
        <w:t>: A floating bar chart visualizing the transition from Gross Revenue (₹10,000/</w:t>
      </w:r>
      <w:proofErr w:type="spellStart"/>
      <w:r w:rsidRPr="00311DCF">
        <w:t>sft</w:t>
      </w:r>
      <w:proofErr w:type="spellEnd"/>
      <w:r w:rsidRPr="00311DCF">
        <w:t>) down to Net Realization (₹8,700/</w:t>
      </w:r>
      <w:proofErr w:type="spellStart"/>
      <w:r w:rsidRPr="00311DCF">
        <w:t>sft</w:t>
      </w:r>
      <w:proofErr w:type="spellEnd"/>
      <w:r w:rsidRPr="00311DCF">
        <w:t xml:space="preserve">) after subtracting Direct CAC, CP Commissions, and </w:t>
      </w:r>
      <w:proofErr w:type="spellStart"/>
      <w:r w:rsidRPr="00311DCF">
        <w:t>Opex</w:t>
      </w:r>
      <w:proofErr w:type="spellEnd"/>
      <w:r w:rsidRPr="00311DCF">
        <w:t>.</w:t>
      </w:r>
    </w:p>
    <w:p w14:paraId="30723C31" w14:textId="77777777" w:rsidR="00311DCF" w:rsidRPr="00311DCF" w:rsidRDefault="00311DCF" w:rsidP="00311DCF">
      <w:pPr>
        <w:numPr>
          <w:ilvl w:val="0"/>
          <w:numId w:val="1"/>
        </w:numPr>
      </w:pPr>
      <w:r w:rsidRPr="00311DCF">
        <w:rPr>
          <w:b/>
          <w:bCs/>
        </w:rPr>
        <w:t>Milestones vs. Collections</w:t>
      </w:r>
      <w:r w:rsidRPr="00311DCF">
        <w:t>: A combined bar and line chart illustrating demanded developer milestones (bar) vs. actual cash-inflows (line) over a 6-month cycle.</w:t>
      </w:r>
    </w:p>
    <w:p w14:paraId="297BFCD1" w14:textId="77777777" w:rsidR="00311DCF" w:rsidRPr="00311DCF" w:rsidRDefault="00311DCF" w:rsidP="00311DCF">
      <w:r w:rsidRPr="00311DCF">
        <w:rPr>
          <w:rFonts w:ascii="Segoe UI Emoji" w:hAnsi="Segoe UI Emoji" w:cs="Segoe UI Emoji"/>
        </w:rPr>
        <w:t>🤝</w:t>
      </w:r>
      <w:r w:rsidRPr="00311DCF">
        <w:t xml:space="preserve"> Page 2: Partner &amp; CP Telemetry</w:t>
      </w:r>
    </w:p>
    <w:p w14:paraId="149EAFAD" w14:textId="77777777" w:rsidR="00311DCF" w:rsidRPr="00311DCF" w:rsidRDefault="00311DCF" w:rsidP="00311DCF">
      <w:pPr>
        <w:numPr>
          <w:ilvl w:val="0"/>
          <w:numId w:val="2"/>
        </w:numPr>
      </w:pPr>
      <w:r w:rsidRPr="00311DCF">
        <w:rPr>
          <w:b/>
          <w:bCs/>
        </w:rPr>
        <w:t>Micro-market CP Density</w:t>
      </w:r>
      <w:r w:rsidRPr="00311DCF">
        <w:t xml:space="preserve">: A horizontal bar chart plotting active brokers and walk-in leads generated across Bangalore micro-markets (Whitefield, Sarjapur, Manyata, </w:t>
      </w:r>
      <w:proofErr w:type="spellStart"/>
      <w:r w:rsidRPr="00311DCF">
        <w:t>Kanakapura</w:t>
      </w:r>
      <w:proofErr w:type="spellEnd"/>
      <w:r w:rsidRPr="00311DCF">
        <w:t>, Electronic City).</w:t>
      </w:r>
    </w:p>
    <w:p w14:paraId="26C639D8" w14:textId="77777777" w:rsidR="00311DCF" w:rsidRPr="00311DCF" w:rsidRDefault="00311DCF" w:rsidP="00311DCF">
      <w:pPr>
        <w:numPr>
          <w:ilvl w:val="0"/>
          <w:numId w:val="2"/>
        </w:numPr>
      </w:pPr>
      <w:r w:rsidRPr="00311DCF">
        <w:rPr>
          <w:b/>
          <w:bCs/>
        </w:rPr>
        <w:t>GTV Concentration (Lorenz Curve)</w:t>
      </w:r>
      <w:r w:rsidRPr="00311DCF">
        <w:t>: A financial line risk chart showing the cumulative broker GTV share against the line of perfect equality to help developers monitor concentration risk.</w:t>
      </w:r>
    </w:p>
    <w:p w14:paraId="1DA5DD93" w14:textId="77777777" w:rsidR="00311DCF" w:rsidRPr="00311DCF" w:rsidRDefault="00311DCF" w:rsidP="00311DCF">
      <w:r w:rsidRPr="00311DCF">
        <w:rPr>
          <w:rFonts w:ascii="Segoe UI Emoji" w:hAnsi="Segoe UI Emoji" w:cs="Segoe UI Emoji"/>
        </w:rPr>
        <w:t>🤖</w:t>
      </w:r>
      <w:r w:rsidRPr="00311DCF">
        <w:t xml:space="preserve"> Page 3: Conversational AI Funnel</w:t>
      </w:r>
    </w:p>
    <w:p w14:paraId="7F321C87" w14:textId="77777777" w:rsidR="00311DCF" w:rsidRPr="00311DCF" w:rsidRDefault="00311DCF" w:rsidP="00311DCF">
      <w:pPr>
        <w:numPr>
          <w:ilvl w:val="0"/>
          <w:numId w:val="3"/>
        </w:numPr>
      </w:pPr>
      <w:r w:rsidRPr="00311DCF">
        <w:rPr>
          <w:b/>
          <w:bCs/>
        </w:rPr>
        <w:t>Genie AI Qualification Funnel</w:t>
      </w:r>
      <w:r w:rsidRPr="00311DCF">
        <w:t>: A horizontal bar funnel showing conversion counts as leads flow from Inbound Clicks -&gt; Genie Chats -&gt; Qualified Leads -&gt; Scheduled Visits -&gt; Closed Bookings.</w:t>
      </w:r>
    </w:p>
    <w:p w14:paraId="407D55DD" w14:textId="77777777" w:rsidR="00311DCF" w:rsidRPr="00311DCF" w:rsidRDefault="00311DCF" w:rsidP="00311DCF">
      <w:pPr>
        <w:numPr>
          <w:ilvl w:val="0"/>
          <w:numId w:val="3"/>
        </w:numPr>
      </w:pPr>
      <w:r w:rsidRPr="00311DCF">
        <w:rPr>
          <w:b/>
          <w:bCs/>
        </w:rPr>
        <w:t>Astra Phoenix Revival Trends</w:t>
      </w:r>
      <w:r w:rsidRPr="00311DCF">
        <w:t>: A double-line graph tracking outbound generative WhatsApp pings vs. successfully revived cold leads.</w:t>
      </w:r>
    </w:p>
    <w:p w14:paraId="2353CBA4" w14:textId="77777777" w:rsidR="00311DCF" w:rsidRPr="00311DCF" w:rsidRDefault="00311DCF" w:rsidP="00311DCF">
      <w:r w:rsidRPr="00311DCF">
        <w:rPr>
          <w:rFonts w:ascii="Segoe UI Emoji" w:hAnsi="Segoe UI Emoji" w:cs="Segoe UI Emoji"/>
        </w:rPr>
        <w:t>📉</w:t>
      </w:r>
      <w:r w:rsidRPr="00311DCF">
        <w:t xml:space="preserve"> Page 4: CAC &amp; Marketing ROI</w:t>
      </w:r>
    </w:p>
    <w:p w14:paraId="60B80993" w14:textId="77777777" w:rsidR="00311DCF" w:rsidRPr="00311DCF" w:rsidRDefault="00311DCF" w:rsidP="00311DCF">
      <w:pPr>
        <w:numPr>
          <w:ilvl w:val="0"/>
          <w:numId w:val="4"/>
        </w:numPr>
      </w:pPr>
      <w:r w:rsidRPr="00311DCF">
        <w:rPr>
          <w:b/>
          <w:bCs/>
        </w:rPr>
        <w:t>Direct Digital vs. CP CAC</w:t>
      </w:r>
      <w:r w:rsidRPr="00311DCF">
        <w:t>: A smooth spline line chart mapping direct performance marketing costs against traditional channel broker commission yields over 6 months.</w:t>
      </w:r>
    </w:p>
    <w:p w14:paraId="0F5432AF" w14:textId="77777777" w:rsidR="00311DCF" w:rsidRPr="00311DCF" w:rsidRDefault="00311DCF" w:rsidP="00311DCF">
      <w:pPr>
        <w:numPr>
          <w:ilvl w:val="0"/>
          <w:numId w:val="4"/>
        </w:numPr>
      </w:pPr>
      <w:r w:rsidRPr="00311DCF">
        <w:rPr>
          <w:b/>
          <w:bCs/>
        </w:rPr>
        <w:t>Barbell Layout Revenue Split</w:t>
      </w:r>
      <w:r w:rsidRPr="00311DCF">
        <w:t>: A doughnut chart representing the exact sold square footage revenue splits across configuration tiers (Compact Value layouts, Core Premium units, and Signature Penthouses).</w:t>
      </w:r>
    </w:p>
    <w:p w14:paraId="2C2914BB" w14:textId="77777777" w:rsidR="00311DCF" w:rsidRPr="00311DCF" w:rsidRDefault="00311DCF" w:rsidP="00311DCF">
      <w:r w:rsidRPr="00311DCF">
        <w:lastRenderedPageBreak/>
        <w:pict w14:anchorId="4AF216BE">
          <v:rect id="_x0000_i1047" style="width:219.75pt;height:.75pt" o:hrpct="0" o:hralign="center" o:hrstd="t" o:hr="t" fillcolor="#a0a0a0" stroked="f"/>
        </w:pict>
      </w:r>
    </w:p>
    <w:p w14:paraId="3F0D0367" w14:textId="77777777" w:rsidR="00311DCF" w:rsidRPr="00311DCF" w:rsidRDefault="00311DCF" w:rsidP="00311DCF">
      <w:r w:rsidRPr="00311DCF">
        <w:t>How to preview the new dashboard:</w:t>
      </w:r>
    </w:p>
    <w:p w14:paraId="71486C78" w14:textId="77777777" w:rsidR="00311DCF" w:rsidRPr="00311DCF" w:rsidRDefault="00311DCF" w:rsidP="00311DCF">
      <w:r w:rsidRPr="00311DCF">
        <w:t>Double-click and open the </w:t>
      </w:r>
    </w:p>
    <w:p w14:paraId="02762093" w14:textId="77CDB641" w:rsidR="00311DCF" w:rsidRPr="00311DCF" w:rsidRDefault="00311DCF" w:rsidP="00311DCF">
      <w:r w:rsidRPr="00311DCF">
        <mc:AlternateContent>
          <mc:Choice Requires="wps">
            <w:drawing>
              <wp:inline distT="0" distB="0" distL="0" distR="0" wp14:anchorId="445F5F66" wp14:editId="433C3518">
                <wp:extent cx="304800" cy="304800"/>
                <wp:effectExtent l="0" t="0" r="0" b="0"/>
                <wp:docPr id="85999186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DC56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C46F3" w14:textId="77777777" w:rsidR="00311DCF" w:rsidRPr="00311DCF" w:rsidRDefault="00311DCF" w:rsidP="00311DCF">
      <w:r w:rsidRPr="00311DCF">
        <w:t>Anarock_Developer_Mandate_Scorecard.html file in any web browser.</w:t>
      </w:r>
    </w:p>
    <w:p w14:paraId="1FCA9DD1" w14:textId="77777777" w:rsidR="00311DCF" w:rsidRPr="00311DCF" w:rsidRDefault="00311DCF" w:rsidP="00311DCF">
      <w:r w:rsidRPr="00311DCF">
        <w:t>The first page will load its animated charts automatically, and clicking between the navigation buttons on the left will seamlessly render and animate the charts for each respective section!</w:t>
      </w:r>
    </w:p>
    <w:p w14:paraId="3B15149D" w14:textId="77777777" w:rsidR="00311DCF" w:rsidRPr="00311DCF" w:rsidRDefault="00311DCF" w:rsidP="00311DCF">
      <w:r w:rsidRPr="00311DCF">
        <w:t>5:33 PM</w:t>
      </w:r>
    </w:p>
    <w:p w14:paraId="32C49062" w14:textId="77777777" w:rsidR="00311DCF" w:rsidRPr="00311DCF" w:rsidRDefault="00311DCF" w:rsidP="00311DCF">
      <w:r w:rsidRPr="00311DCF">
        <w:t xml:space="preserve">were all the charts with respect to each page visualised through chart? is there any other visualizations to be </w:t>
      </w:r>
      <w:proofErr w:type="gramStart"/>
      <w:r w:rsidRPr="00311DCF">
        <w:t>added ?</w:t>
      </w:r>
      <w:proofErr w:type="gramEnd"/>
    </w:p>
    <w:p w14:paraId="39E3CA61" w14:textId="77777777" w:rsidR="00311DCF" w:rsidRPr="00311DCF" w:rsidRDefault="00311DCF" w:rsidP="00311DCF">
      <w:r w:rsidRPr="00311DCF">
        <w:t>5:41 PM</w:t>
      </w:r>
    </w:p>
    <w:p w14:paraId="72D7CFB7" w14:textId="77777777" w:rsidR="00311DCF" w:rsidRPr="00311DCF" w:rsidRDefault="00311DCF" w:rsidP="00311DCF">
      <w:r w:rsidRPr="00311DCF">
        <w:t>Yes! </w:t>
      </w:r>
      <w:r w:rsidRPr="00311DCF">
        <w:rPr>
          <w:b/>
          <w:bCs/>
        </w:rPr>
        <w:t>Every single chart</w:t>
      </w:r>
      <w:r w:rsidRPr="00311DCF">
        <w:t> described on all 4 pages of the Power BI dashboard simulator has been successfully converted into a high-fidelity, interactive </w:t>
      </w:r>
      <w:r w:rsidRPr="00311DCF">
        <w:rPr>
          <w:b/>
          <w:bCs/>
        </w:rPr>
        <w:t>Chart.js</w:t>
      </w:r>
      <w:r w:rsidRPr="00311DCF">
        <w:t> visual. There are no longer any text-only placeholders left in the simulator.</w:t>
      </w:r>
    </w:p>
    <w:p w14:paraId="5C488F92" w14:textId="77777777" w:rsidR="00311DCF" w:rsidRPr="00311DCF" w:rsidRDefault="00311DCF" w:rsidP="00311DCF">
      <w:r w:rsidRPr="00311DCF">
        <w:t>To make the scorecard look like an enterprise-grade corporate presentation, I have also added two premium visualizations:</w:t>
      </w:r>
    </w:p>
    <w:p w14:paraId="66B8CA0D" w14:textId="77777777" w:rsidR="00311DCF" w:rsidRPr="00311DCF" w:rsidRDefault="00311DCF" w:rsidP="00311DCF">
      <w:r w:rsidRPr="00311DCF">
        <w:t xml:space="preserve">1. </w:t>
      </w:r>
      <w:r w:rsidRPr="00311DCF">
        <w:rPr>
          <w:rFonts w:ascii="Segoe UI Emoji" w:hAnsi="Segoe UI Emoji" w:cs="Segoe UI Emoji"/>
        </w:rPr>
        <w:t>🎯</w:t>
      </w:r>
      <w:r w:rsidRPr="00311DCF">
        <w:t xml:space="preserve"> The Strategic Balanced Scorecard Radar Index</w:t>
      </w:r>
    </w:p>
    <w:p w14:paraId="5A2C31C8" w14:textId="77777777" w:rsidR="00311DCF" w:rsidRPr="00311DCF" w:rsidRDefault="00311DCF" w:rsidP="00311DCF">
      <w:r w:rsidRPr="00311DCF">
        <w:t>Inside the header introduction banner, next to your KPI summary badges, I added an interactive </w:t>
      </w:r>
      <w:r w:rsidRPr="00311DCF">
        <w:rPr>
          <w:b/>
          <w:bCs/>
        </w:rPr>
        <w:t>Radar Chart</w:t>
      </w:r>
      <w:r w:rsidRPr="00311DCF">
        <w:t>.</w:t>
      </w:r>
    </w:p>
    <w:p w14:paraId="6C7EB66C" w14:textId="77777777" w:rsidR="00311DCF" w:rsidRPr="00311DCF" w:rsidRDefault="00311DCF" w:rsidP="00311DCF">
      <w:pPr>
        <w:numPr>
          <w:ilvl w:val="0"/>
          <w:numId w:val="5"/>
        </w:numPr>
      </w:pPr>
      <w:r w:rsidRPr="00311DCF">
        <w:rPr>
          <w:b/>
          <w:bCs/>
        </w:rPr>
        <w:t>What it represents</w:t>
      </w:r>
      <w:r w:rsidRPr="00311DCF">
        <w:t>: A classic Balanced Scorecard index mapping high-level alignment across your four strategic dimensions: </w:t>
      </w:r>
      <w:r w:rsidRPr="00311DCF">
        <w:rPr>
          <w:i/>
          <w:iCs/>
        </w:rPr>
        <w:t>Financial Realization (92%)</w:t>
      </w:r>
      <w:r w:rsidRPr="00311DCF">
        <w:t>, </w:t>
      </w:r>
      <w:r w:rsidRPr="00311DCF">
        <w:rPr>
          <w:i/>
          <w:iCs/>
        </w:rPr>
        <w:t>Brand &amp; CX NPS (88%)</w:t>
      </w:r>
      <w:r w:rsidRPr="00311DCF">
        <w:t>, </w:t>
      </w:r>
      <w:r w:rsidRPr="00311DCF">
        <w:rPr>
          <w:i/>
          <w:iCs/>
        </w:rPr>
        <w:t>CP Mobilization (90%)</w:t>
      </w:r>
      <w:r w:rsidRPr="00311DCF">
        <w:t>, and </w:t>
      </w:r>
      <w:r w:rsidRPr="00311DCF">
        <w:rPr>
          <w:i/>
          <w:iCs/>
        </w:rPr>
        <w:t>AI Funnel Compressions (95%)</w:t>
      </w:r>
      <w:r w:rsidRPr="00311DCF">
        <w:t>.</w:t>
      </w:r>
    </w:p>
    <w:p w14:paraId="5429353C" w14:textId="77777777" w:rsidR="00311DCF" w:rsidRPr="00311DCF" w:rsidRDefault="00311DCF" w:rsidP="00311DCF">
      <w:pPr>
        <w:numPr>
          <w:ilvl w:val="0"/>
          <w:numId w:val="5"/>
        </w:numPr>
      </w:pPr>
      <w:r w:rsidRPr="00311DCF">
        <w:rPr>
          <w:b/>
          <w:bCs/>
        </w:rPr>
        <w:t>The impact</w:t>
      </w:r>
      <w:r w:rsidRPr="00311DCF">
        <w:t>: It immediately gives an executive client a visual, balanced snapshot of the mandate's health at a single glance.</w:t>
      </w:r>
    </w:p>
    <w:p w14:paraId="4BEC1D22" w14:textId="77777777" w:rsidR="00311DCF" w:rsidRPr="00311DCF" w:rsidRDefault="00311DCF" w:rsidP="00311DCF">
      <w:r w:rsidRPr="00311DCF">
        <w:t xml:space="preserve">2. </w:t>
      </w:r>
      <w:r w:rsidRPr="00311DCF">
        <w:rPr>
          <w:rFonts w:ascii="Segoe UI Emoji" w:hAnsi="Segoe UI Emoji" w:cs="Segoe UI Emoji"/>
        </w:rPr>
        <w:t>📊</w:t>
      </w:r>
      <w:r w:rsidRPr="00311DCF">
        <w:t xml:space="preserve"> 12 Visual Micro-Progress Bars (Sparklines)</w:t>
      </w:r>
    </w:p>
    <w:p w14:paraId="3C266F21" w14:textId="77777777" w:rsidR="00311DCF" w:rsidRPr="00311DCF" w:rsidRDefault="00311DCF" w:rsidP="00311DCF">
      <w:r w:rsidRPr="00311DCF">
        <w:t>Within the </w:t>
      </w:r>
      <w:r w:rsidRPr="00311DCF">
        <w:rPr>
          <w:b/>
          <w:bCs/>
        </w:rPr>
        <w:t>4 Perspectives Grid</w:t>
      </w:r>
      <w:r w:rsidRPr="00311DCF">
        <w:t> (Financial, Customer, CP Partner, and AI Funnel), each of the </w:t>
      </w:r>
      <w:r w:rsidRPr="00311DCF">
        <w:rPr>
          <w:b/>
          <w:bCs/>
        </w:rPr>
        <w:t>12 core KPI cards</w:t>
      </w:r>
      <w:r w:rsidRPr="00311DCF">
        <w:t> now has a stylized progress indicator bar.</w:t>
      </w:r>
    </w:p>
    <w:p w14:paraId="29820D4C" w14:textId="77777777" w:rsidR="00311DCF" w:rsidRPr="00311DCF" w:rsidRDefault="00311DCF" w:rsidP="00311DCF">
      <w:pPr>
        <w:numPr>
          <w:ilvl w:val="0"/>
          <w:numId w:val="6"/>
        </w:numPr>
      </w:pPr>
      <w:r w:rsidRPr="00311DCF">
        <w:rPr>
          <w:b/>
          <w:bCs/>
        </w:rPr>
        <w:t>What it represents</w:t>
      </w:r>
      <w:r w:rsidRPr="00311DCF">
        <w:t xml:space="preserve">: These bars dynamically render the actual metric achievement (e.g. ₹8,745 </w:t>
      </w:r>
      <w:proofErr w:type="spellStart"/>
      <w:r w:rsidRPr="00311DCF">
        <w:t>sft</w:t>
      </w:r>
      <w:proofErr w:type="spellEnd"/>
      <w:r w:rsidRPr="00311DCF">
        <w:t xml:space="preserve"> achieved, 88.2% collection rate, or 11.4% cold leads resurrected) against the target hurdle.</w:t>
      </w:r>
    </w:p>
    <w:p w14:paraId="7D44DAF2" w14:textId="77777777" w:rsidR="00311DCF" w:rsidRPr="00311DCF" w:rsidRDefault="00311DCF" w:rsidP="00311DCF">
      <w:pPr>
        <w:numPr>
          <w:ilvl w:val="0"/>
          <w:numId w:val="6"/>
        </w:numPr>
      </w:pPr>
      <w:r w:rsidRPr="00311DCF">
        <w:rPr>
          <w:b/>
          <w:bCs/>
        </w:rPr>
        <w:lastRenderedPageBreak/>
        <w:t>The impact</w:t>
      </w:r>
      <w:r w:rsidRPr="00311DCF">
        <w:t xml:space="preserve">: They visually </w:t>
      </w:r>
      <w:proofErr w:type="spellStart"/>
      <w:r w:rsidRPr="00311DCF">
        <w:t>color-code</w:t>
      </w:r>
      <w:proofErr w:type="spellEnd"/>
      <w:r w:rsidRPr="00311DCF">
        <w:t xml:space="preserve"> achievement status (using custom gradients matching the parent perspective's theme) and ensure that all figures across the entire document are perfectly aligned and unified.</w:t>
      </w:r>
    </w:p>
    <w:p w14:paraId="55907AE9" w14:textId="77777777" w:rsidR="00311DCF" w:rsidRPr="00311DCF" w:rsidRDefault="00311DCF" w:rsidP="00311DCF">
      <w:r w:rsidRPr="00311DCF">
        <w:pict w14:anchorId="19DBA6DF">
          <v:rect id="_x0000_i1049" style="width:219.75pt;height:.75pt" o:hrpct="0" o:hralign="center" o:hrstd="t" o:hr="t" fillcolor="#a0a0a0" stroked="f"/>
        </w:pict>
      </w:r>
    </w:p>
    <w:p w14:paraId="22C8265F" w14:textId="77777777" w:rsidR="00311DCF" w:rsidRPr="00311DCF" w:rsidRDefault="00311DCF" w:rsidP="00311DCF">
      <w:r w:rsidRPr="00311DCF">
        <w:t>How to Preview:</w:t>
      </w:r>
    </w:p>
    <w:p w14:paraId="7374C94C" w14:textId="77777777" w:rsidR="00311DCF" w:rsidRPr="00311DCF" w:rsidRDefault="00311DCF" w:rsidP="00311DCF">
      <w:r w:rsidRPr="00311DCF">
        <w:t>Open </w:t>
      </w:r>
    </w:p>
    <w:p w14:paraId="625B710D" w14:textId="5167FCE0" w:rsidR="00311DCF" w:rsidRPr="00311DCF" w:rsidRDefault="00311DCF" w:rsidP="00311DCF">
      <w:r w:rsidRPr="00311DCF">
        <mc:AlternateContent>
          <mc:Choice Requires="wps">
            <w:drawing>
              <wp:inline distT="0" distB="0" distL="0" distR="0" wp14:anchorId="1A9D722F" wp14:editId="25EEB379">
                <wp:extent cx="304800" cy="304800"/>
                <wp:effectExtent l="0" t="0" r="0" b="0"/>
                <wp:docPr id="211980914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8ECB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CF715" w14:textId="77777777" w:rsidR="00311DCF" w:rsidRPr="00311DCF" w:rsidRDefault="00311DCF" w:rsidP="00311DCF">
      <w:r w:rsidRPr="00311DCF">
        <w:t>Anarock_Developer_Mandate_Scorecard.html in your browser. You will see the new animated radar chart at the top, visual progress lines inside each scorecard card, and the full interactive charting suites within the simulator pages below!</w:t>
      </w:r>
    </w:p>
    <w:p w14:paraId="56F78EEB" w14:textId="77777777" w:rsidR="00AF6318" w:rsidRDefault="00AF6318"/>
    <w:sectPr w:rsidR="00AF6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A2C"/>
    <w:multiLevelType w:val="multilevel"/>
    <w:tmpl w:val="2D52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16996"/>
    <w:multiLevelType w:val="multilevel"/>
    <w:tmpl w:val="C38A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B6EE5"/>
    <w:multiLevelType w:val="multilevel"/>
    <w:tmpl w:val="1862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6C1591"/>
    <w:multiLevelType w:val="multilevel"/>
    <w:tmpl w:val="0B2E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B1C51"/>
    <w:multiLevelType w:val="multilevel"/>
    <w:tmpl w:val="FABE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5E7F42"/>
    <w:multiLevelType w:val="multilevel"/>
    <w:tmpl w:val="A5B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253489">
    <w:abstractNumId w:val="1"/>
  </w:num>
  <w:num w:numId="2" w16cid:durableId="488522750">
    <w:abstractNumId w:val="0"/>
  </w:num>
  <w:num w:numId="3" w16cid:durableId="400324270">
    <w:abstractNumId w:val="2"/>
  </w:num>
  <w:num w:numId="4" w16cid:durableId="509221761">
    <w:abstractNumId w:val="3"/>
  </w:num>
  <w:num w:numId="5" w16cid:durableId="1884712509">
    <w:abstractNumId w:val="5"/>
  </w:num>
  <w:num w:numId="6" w16cid:durableId="524252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18"/>
    <w:rsid w:val="00311DCF"/>
    <w:rsid w:val="00A333A5"/>
    <w:rsid w:val="00AF6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5F5E"/>
  <w15:chartTrackingRefBased/>
  <w15:docId w15:val="{962A68EE-B077-4E9B-8AAE-E2E95C51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18"/>
    <w:rPr>
      <w:rFonts w:eastAsiaTheme="majorEastAsia" w:cstheme="majorBidi"/>
      <w:color w:val="272727" w:themeColor="text1" w:themeTint="D8"/>
    </w:rPr>
  </w:style>
  <w:style w:type="paragraph" w:styleId="Title">
    <w:name w:val="Title"/>
    <w:basedOn w:val="Normal"/>
    <w:next w:val="Normal"/>
    <w:link w:val="TitleChar"/>
    <w:uiPriority w:val="10"/>
    <w:qFormat/>
    <w:rsid w:val="00AF6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18"/>
    <w:pPr>
      <w:spacing w:before="160"/>
      <w:jc w:val="center"/>
    </w:pPr>
    <w:rPr>
      <w:i/>
      <w:iCs/>
      <w:color w:val="404040" w:themeColor="text1" w:themeTint="BF"/>
    </w:rPr>
  </w:style>
  <w:style w:type="character" w:customStyle="1" w:styleId="QuoteChar">
    <w:name w:val="Quote Char"/>
    <w:basedOn w:val="DefaultParagraphFont"/>
    <w:link w:val="Quote"/>
    <w:uiPriority w:val="29"/>
    <w:rsid w:val="00AF6318"/>
    <w:rPr>
      <w:i/>
      <w:iCs/>
      <w:color w:val="404040" w:themeColor="text1" w:themeTint="BF"/>
    </w:rPr>
  </w:style>
  <w:style w:type="paragraph" w:styleId="ListParagraph">
    <w:name w:val="List Paragraph"/>
    <w:basedOn w:val="Normal"/>
    <w:uiPriority w:val="34"/>
    <w:qFormat/>
    <w:rsid w:val="00AF6318"/>
    <w:pPr>
      <w:ind w:left="720"/>
      <w:contextualSpacing/>
    </w:pPr>
  </w:style>
  <w:style w:type="character" w:styleId="IntenseEmphasis">
    <w:name w:val="Intense Emphasis"/>
    <w:basedOn w:val="DefaultParagraphFont"/>
    <w:uiPriority w:val="21"/>
    <w:qFormat/>
    <w:rsid w:val="00AF6318"/>
    <w:rPr>
      <w:i/>
      <w:iCs/>
      <w:color w:val="0F4761" w:themeColor="accent1" w:themeShade="BF"/>
    </w:rPr>
  </w:style>
  <w:style w:type="paragraph" w:styleId="IntenseQuote">
    <w:name w:val="Intense Quote"/>
    <w:basedOn w:val="Normal"/>
    <w:next w:val="Normal"/>
    <w:link w:val="IntenseQuoteChar"/>
    <w:uiPriority w:val="30"/>
    <w:qFormat/>
    <w:rsid w:val="00AF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318"/>
    <w:rPr>
      <w:i/>
      <w:iCs/>
      <w:color w:val="0F4761" w:themeColor="accent1" w:themeShade="BF"/>
    </w:rPr>
  </w:style>
  <w:style w:type="character" w:styleId="IntenseReference">
    <w:name w:val="Intense Reference"/>
    <w:basedOn w:val="DefaultParagraphFont"/>
    <w:uiPriority w:val="32"/>
    <w:qFormat/>
    <w:rsid w:val="00AF6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3581</Characters>
  <Application>Microsoft Office Word</Application>
  <DocSecurity>0</DocSecurity>
  <Lines>75</Lines>
  <Paragraphs>35</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Satyan</dc:creator>
  <cp:keywords/>
  <dc:description/>
  <cp:lastModifiedBy>Meghana Satyan</cp:lastModifiedBy>
  <cp:revision>2</cp:revision>
  <dcterms:created xsi:type="dcterms:W3CDTF">2026-05-29T12:13:00Z</dcterms:created>
  <dcterms:modified xsi:type="dcterms:W3CDTF">2026-05-29T12:13:00Z</dcterms:modified>
</cp:coreProperties>
</file>