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仓库老板经营看板手册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V2.0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2026-08-04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主要读者：仓库老板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角色职责与只读边界">
        <w:r>
          <w:rPr>
            <w:rStyle w:val="Hyperlink"/>
          </w:rPr>
          <w:t>角色职责与只读边界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登录与范围确认">
        <w:r>
          <w:rPr>
            <w:rStyle w:val="Hyperlink"/>
          </w:rPr>
          <w:t>登录与范围确认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首页总览">
        <w:r>
          <w:rPr>
            <w:rStyle w:val="Hyperlink"/>
          </w:rPr>
          <w:t>首页总览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库存与库容">
        <w:r>
          <w:rPr>
            <w:rStyle w:val="Hyperlink"/>
          </w:rPr>
          <w:t>库存与库容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收入与计费">
        <w:r>
          <w:rPr>
            <w:rStyle w:val="Hyperlink"/>
          </w:rPr>
          <w:t>收入与计费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预警中心">
        <w:r>
          <w:rPr>
            <w:rStyle w:val="Hyperlink"/>
          </w:rPr>
          <w:t>预警中心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经营例会建议">
        <w:r>
          <w:rPr>
            <w:rStyle w:val="Hyperlink"/>
          </w:rPr>
          <w:t>经营例会建议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老板日常检查表">
        <w:r>
          <w:rPr>
            <w:rStyle w:val="Hyperlink"/>
          </w:rPr>
          <w:t>老板日常检查表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4-文档修订记录">
        <w:r>
          <w:rPr>
            <w:rStyle w:val="Hyperlink"/>
          </w:rPr>
          <w:t>文档修订记录</w:t>
        </w:r>
      </w:hyperlink>
    </w:p>
    <w:p>
      <w:pPr>
        <w:pStyle w:val="BodyText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V2.0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2026-08-04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仓库老板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WMS::</w:t>
      </w:r>
      <w:r>
        <w:rPr>
          <w:rStyle w:val="SourceText"/>
        </w:rPr>
        <w:t>仓库老板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仓储经营分析中心（</w:t>
      </w:r>
      <w:r>
        <w:rPr/>
        <w:t>wmsbossbilling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441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96"/>
        <w:gridCol w:w="3316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项目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本角色要求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角色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仓库老板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正式权限组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rStyle w:val="SourceText"/>
              </w:rPr>
              <w:t>WMS::</w:t>
            </w:r>
            <w:r>
              <w:rPr>
                <w:rStyle w:val="SourceText"/>
              </w:rPr>
              <w:t>仓库老板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主要入口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仓储经营分析中心（</w:t>
            </w:r>
            <w:r>
              <w:rPr/>
              <w:t>wmsbossbilling</w:t>
            </w:r>
            <w:r>
              <w:rPr/>
              <w:t>）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数据范围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一个或多个明确授权的仓库范围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账号和数据范围"/>
      <w:bookmarkEnd w:id="3"/>
      <w:r>
        <w:rPr/>
        <w:t>账号和数据范围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通用操作原则"/>
      <w:bookmarkEnd w:id="4"/>
      <w:r>
        <w:rPr/>
        <w:t>通用操作原则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修改密码与退出"/>
      <w:bookmarkEnd w:id="5"/>
      <w:r>
        <w:rPr/>
        <w:t>修改密码与退出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2667000" cy="6200775"/>
            <wp:effectExtent l="0" t="0" r="0" b="0"/>
            <wp:docPr id="2" name="Image2" descr="" title="仓储经营分析中心登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仓储经营分析中心登录界面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>图：仓储经营分析中心登录界面</w:t>
      </w:r>
    </w:p>
    <w:p>
      <w:pPr>
        <w:pStyle w:val="Heading2"/>
        <w:bidi w:val="0"/>
        <w:ind w:hanging="0" w:start="0" w:end="0"/>
        <w:jc w:val="start"/>
        <w:rPr/>
      </w:pPr>
      <w:bookmarkStart w:id="6" w:name="section-7-角色职责与只读边界"/>
      <w:bookmarkEnd w:id="6"/>
      <w:r>
        <w:rPr/>
        <w:t>角色职责与只读边界</w:t>
      </w:r>
    </w:p>
    <w:p>
      <w:pPr>
        <w:pStyle w:val="BodyText"/>
        <w:bidi w:val="0"/>
        <w:jc w:val="start"/>
        <w:rPr/>
      </w:pPr>
      <w:r>
        <w:rPr/>
        <w:t xml:space="preserve">仓库老板通过“仓储经营分析中心”查看一个或多个授权仓库的经营、库存、计费和预警。规范角色组为 </w:t>
      </w:r>
      <w:r>
        <w:rPr>
          <w:rStyle w:val="SourceText"/>
        </w:rPr>
        <w:t>WMS::</w:t>
      </w:r>
      <w:r>
        <w:rPr>
          <w:rStyle w:val="SourceText"/>
        </w:rPr>
        <w:t>仓库老板</w:t>
      </w:r>
      <w:r>
        <w:rPr/>
        <w:t>；这是唯一允许同一账号配置多个活动仓库范围的业务角色。</w:t>
      </w:r>
    </w:p>
    <w:p>
      <w:pPr>
        <w:pStyle w:val="BodyText"/>
        <w:bidi w:val="0"/>
        <w:jc w:val="start"/>
        <w:rPr/>
      </w:pPr>
      <w:r>
        <w:rPr/>
        <w:t>仓库老板默认拥有老板看板、仓库运营、仓库财务和报表导出权限。经营分析中心为只读入口，不用于开单、审批、库存调整、任务发布或过账。</w:t>
      </w:r>
    </w:p>
    <w:p>
      <w:pPr>
        <w:pStyle w:val="BodyText"/>
        <w:bidi w:val="0"/>
        <w:jc w:val="start"/>
        <w:rPr/>
      </w:pPr>
      <w:r>
        <w:rPr/>
        <w:t xml:space="preserve">旧用户组“仓库主管”会作为仓库老板兼容别名识别。需要执行仓库确认和任务管理的作业主管应使用 </w:t>
      </w:r>
      <w:r>
        <w:rPr>
          <w:rStyle w:val="SourceText"/>
        </w:rPr>
        <w:t>WMS::</w:t>
      </w:r>
      <w:r>
        <w:rPr>
          <w:rStyle w:val="SourceText"/>
        </w:rPr>
        <w:t>仓库管理员</w:t>
      </w:r>
      <w:r>
        <w:rPr/>
        <w:t>，不能使用本角色。</w:t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登录与范围确认"/>
      <w:bookmarkEnd w:id="7"/>
      <w:r>
        <w:rPr/>
        <w:t>登录与范围确认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登录“仓储经营分析中心”，核对显示姓名、仓库名称和货主范围。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多仓账号只能看到已配置的仓库；切换范围后确认页面数据截至时间。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使用“全部货主”查看仓库整体，或选择具体货主进行对比。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数据为空时先核对仓库与日期范围，不要要求系统管理员临时扩大权限。 </w:t>
      </w:r>
    </w:p>
    <w:p>
      <w:pPr>
        <w:pStyle w:val="Heading2"/>
        <w:bidi w:val="0"/>
        <w:ind w:hanging="0" w:start="0" w:end="0"/>
        <w:jc w:val="start"/>
        <w:rPr/>
      </w:pPr>
      <w:bookmarkStart w:id="8" w:name="section-9-首页总览"/>
      <w:bookmarkEnd w:id="8"/>
      <w:r>
        <w:rPr/>
        <w:t>首页总览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查看今日入库单、出库单、当前在库量、库位占用率、体积利用率、今日计费额、逾期应收和预警数。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在“今日作业节奏”比较任务总量、完成量、完成率和积压。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查看收入 </w:t>
      </w:r>
      <w:r>
        <w:rPr/>
        <w:t xml:space="preserve">Top </w:t>
      </w:r>
      <w:r>
        <w:rPr/>
        <w:t xml:space="preserve">货主、库存占用 </w:t>
      </w:r>
      <w:r>
        <w:rPr/>
        <w:t xml:space="preserve">Top </w:t>
      </w:r>
      <w:r>
        <w:rPr/>
        <w:t xml:space="preserve">货主和近 </w:t>
      </w:r>
      <w:r>
        <w:rPr/>
        <w:t xml:space="preserve">7 </w:t>
      </w:r>
      <w:r>
        <w:rPr/>
        <w:t xml:space="preserve">天趋势。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对完成率下降、积压增加、占仓高但收入低或预警集中项进入对应页面追踪。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页面上的“实绩截至”用于判断数据新鲜度；数据未更新时先确认报表刷新状态。 </w:t>
      </w:r>
    </w:p>
    <w:p>
      <w:pPr>
        <w:pStyle w:val="Heading2"/>
        <w:bidi w:val="0"/>
        <w:ind w:hanging="0" w:start="0" w:end="0"/>
        <w:jc w:val="start"/>
        <w:rPr/>
      </w:pPr>
      <w:bookmarkStart w:id="9" w:name="section-10-库存与库容"/>
      <w:bookmarkEnd w:id="9"/>
      <w:r>
        <w:rPr/>
        <w:t>库存与库容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切换仓库和货主范围，查看在库、可用、</w:t>
      </w:r>
      <w:r>
        <w:rPr/>
        <w:t xml:space="preserve">7 </w:t>
      </w:r>
      <w:r>
        <w:rPr/>
        <w:t>天临期、</w:t>
      </w:r>
      <w:r>
        <w:rPr/>
        <w:t xml:space="preserve">30 </w:t>
      </w:r>
      <w:r>
        <w:rPr/>
        <w:t xml:space="preserve">天未变化、库位占用率和体积利用率。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查看货主占仓排行和高占用热区，识别仓容紧张区域。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查看低效冷区、临期库存和呆滞库存明细。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点击库存明细追溯商品、货主和库位；看板数值用于经营判断，库存处置必须交仓库按业务流程执行。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呆滞口径以系统当前展示说明为准，不把代理指标直接当作财务减值结论。 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收入与计费"/>
      <w:bookmarkEnd w:id="10"/>
      <w:r>
        <w:rPr/>
        <w:t>收入与计费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按仓库、货主、收费类型、日期和应计状态筛选。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查看货主数、应计条数、不含税小计、税额、价税合计和已出账金额。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通过货主排名、收费结构、状态分布和每日趋势判断收入质量。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点击货主、最近收费记录或账单进入明细，追溯服务日期、费用类型、数量、单价和金额。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发现金额异常时记录范围、账期、收费类型和来源单号，交货主管理员与财务核对，不在老板端修改。 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预警中心"/>
      <w:bookmarkEnd w:id="11"/>
      <w:r>
        <w:rPr/>
        <w:t>预警中心</w:t>
      </w:r>
    </w:p>
    <w:p>
      <w:pPr>
        <w:pStyle w:val="BodyText"/>
        <w:bidi w:val="0"/>
        <w:jc w:val="start"/>
        <w:rPr/>
      </w:pPr>
      <w:r>
        <w:rPr/>
        <w:t>预警中心集中展示当前代码提供的经营关注项，例如超期任务、逾期账单、计费任务失败、待复核任务、临期库存和复核差异。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先按风险级别和数量判断优先级。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打开预警项核对仓库、货主、单号、发生时间和当前状态。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将任务类问题交仓库管理员，订单</w:t>
      </w:r>
      <w:r>
        <w:rPr/>
        <w:t>/</w:t>
      </w:r>
      <w:r>
        <w:rPr/>
        <w:t xml:space="preserve">账单类问题交货主管理员或财务，系统故障交系统管理员。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后续回到预警中心确认数量下降或状态关闭，不能只依赖口头反馈。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经营例会建议"/>
      <w:bookmarkEnd w:id="12"/>
      <w:r>
        <w:rPr/>
        <w:t>经营例会建议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每日：作业完成率、积压、超期任务、待复核、临期库存和计费失败。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每周：近 </w:t>
      </w:r>
      <w:r>
        <w:rPr/>
        <w:t xml:space="preserve">7 </w:t>
      </w:r>
      <w:r>
        <w:rPr/>
        <w:t xml:space="preserve">天入出库趋势、仓容、高低效区域、货主占仓排行和收入排行。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每月：收费结构、账单状态、逾期应收、资源占用与收入匹配度。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导出报表用于正式会议时记录导出范围、时间和数据截至点，防止不同口径混用。 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老板日常检查表"/>
      <w:bookmarkEnd w:id="13"/>
      <w:r>
        <w:rPr/>
        <w:t>老板日常检查表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当前查看的是正确仓库、货主和日期范围。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已关注作业积压、待复核和超期任务。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已关注临期、呆滞库存和仓容热点。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收入、计费、账单和逾期应收趋势可解释。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高风险预警已有责任人和处理时限。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经营端未执行或要求他人绕过业务流程修改数据。 </w:t>
      </w:r>
    </w:p>
    <w:p>
      <w:pPr>
        <w:pStyle w:val="Heading2"/>
        <w:bidi w:val="0"/>
        <w:ind w:hanging="0" w:start="0" w:end="0"/>
        <w:jc w:val="start"/>
        <w:rPr/>
      </w:pPr>
      <w:bookmarkStart w:id="14" w:name="section-15-常见状态与控制点"/>
      <w:bookmarkEnd w:id="14"/>
      <w:r>
        <w:rPr/>
        <w:t>常见状态与控制点</w:t>
      </w:r>
    </w:p>
    <w:tbl>
      <w:tblPr>
        <w:tblW w:w="109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061"/>
        <w:gridCol w:w="3031"/>
        <w:gridCol w:w="4831"/>
      </w:tblGrid>
      <w:tr>
        <w:trPr>
          <w:tblHeader w:val="true"/>
        </w:trPr>
        <w:tc>
          <w:tcPr>
            <w:tcW w:w="30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含义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操作要求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草稿 </w:t>
            </w:r>
            <w:r>
              <w:rPr/>
              <w:t>/ DRAFT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单据尚未正式提交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原创建人可在权限允许时修改、提交或删除未生效内容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待货主审核 </w:t>
            </w:r>
            <w:r>
              <w:rPr/>
              <w:t>/ OWNER_PENDING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业务员已经提交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等待货主管理员通过、退回或取消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货主已通过 </w:t>
            </w:r>
            <w:r>
              <w:rPr/>
              <w:t>/ OWNER_APPROVED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商业条件已确认，库存可能已冻结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等待仓库管理员确认并发布任务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待仓库确认 </w:t>
            </w:r>
            <w:r>
              <w:rPr/>
              <w:t>/ WHS_PENDING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等待仓库接单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仓库管理员检查仓库、库存和履约条件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仓库已确认 </w:t>
            </w:r>
            <w:r>
              <w:rPr/>
              <w:t>/ WHS_APPROVED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已进入仓库履约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不得随意修改原订单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保留 </w:t>
            </w:r>
            <w:r>
              <w:rPr/>
              <w:t>/ RESERVED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任务已因货主审核创建但尚未发布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仓库确认前不得现场执行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待发布 </w:t>
            </w:r>
            <w:r>
              <w:rPr/>
              <w:t>/ READY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任务具备发布条件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由仓库管理员发布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已发布 </w:t>
            </w:r>
            <w:r>
              <w:rPr/>
              <w:t>/ RELEASED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操作员可以领取或执行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按任务逐行扫描作业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执行中 </w:t>
            </w:r>
            <w:r>
              <w:rPr/>
              <w:t>/ IN_PROGRESS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已发生现场作业记录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继续完成剩余任务行，不得另建重复任务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已完成 </w:t>
            </w:r>
            <w:r>
              <w:rPr/>
              <w:t>/ COMPLETED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作业数量已经完成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等待复核、审核或过账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待审核 </w:t>
            </w:r>
            <w:r>
              <w:rPr/>
              <w:t>/ 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需要复核或管理确认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核对实物、数量、批次和库位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已过账 </w:t>
            </w:r>
            <w:r>
              <w:rPr/>
              <w:t>/ POSTED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库存影响已正式生效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错误只能通过规范冲销或批准的调整处理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过账失败 </w:t>
            </w:r>
            <w:r>
              <w:rPr/>
              <w:t>/ FAILED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库存写入没有成功完成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保留原任务号和错误信息，交管理员处理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已驳回 </w:t>
            </w:r>
            <w:r>
              <w:rPr/>
              <w:t>/ REJECTED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审核未通过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查看原因并按流程修改、重提或终止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已取消 </w:t>
            </w:r>
            <w:r>
              <w:rPr/>
              <w:t>/ CANCELLED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单据或任务终止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核对冻结库存是否释放、现场实物是否隔离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5" w:name="section-16-异常处理与问题上报"/>
      <w:bookmarkEnd w:id="15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6" w:name="section-17-无法登录或菜单缺失"/>
      <w:bookmarkEnd w:id="16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>按“网络 → 入口 → 用户名和密码 → 账号启用状态 → 职员状态 → 角色范围 → 规范角色组 → 额外权限”的顺序检查。连续失败后停止尝试，由系统管理员查看账号和审计日志。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17" w:name="section-18-数据为空或范围不正确"/>
      <w:bookmarkEnd w:id="17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18" w:name="section-19-网络超时或重复提交提示"/>
      <w:bookmarkEnd w:id="18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库存-任务或账单不一致"/>
      <w:bookmarkEnd w:id="19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问题上报模板"/>
      <w:bookmarkEnd w:id="20"/>
      <w:r>
        <w:rPr/>
        <w:t>问题上报模板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商品编码、批次、库位和数量：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1" w:name="section-22-日常自检与培训验收"/>
      <w:bookmarkEnd w:id="21"/>
      <w:r>
        <w:rPr/>
        <w:t>日常自检与培训验收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2" w:name="section-23-专项手册与边界"/>
      <w:bookmarkEnd w:id="22"/>
      <w:r>
        <w:rPr/>
        <w:t>专项手册与边界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收银、退款、交班和 </w:t>
      </w:r>
      <w:r>
        <w:rPr/>
        <w:t xml:space="preserve">POS </w:t>
      </w:r>
      <w:r>
        <w:rPr/>
        <w:t xml:space="preserve">对账参见 </w:t>
      </w:r>
      <w:r>
        <w:rPr>
          <w:rStyle w:val="SourceText"/>
        </w:rPr>
        <w:t>docs/pos_user_manual.md</w:t>
      </w:r>
      <w:r>
        <w:rPr/>
        <w:t xml:space="preserve">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 </w:t>
      </w:r>
      <w:r>
        <w:rPr>
          <w:rStyle w:val="SourceText"/>
        </w:rPr>
        <w:t>docs/sales-miniapp-user-guide.md</w:t>
      </w:r>
      <w:r>
        <w:rPr/>
        <w:t xml:space="preserve">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3" w:name="section-24-文档修订记录"/>
      <w:bookmarkEnd w:id="23"/>
      <w:r>
        <w:rPr/>
        <w:t>文档修订记录</w:t>
      </w:r>
    </w:p>
    <w:tbl>
      <w:tblPr>
        <w:tblW w:w="693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11"/>
        <w:gridCol w:w="1006"/>
        <w:gridCol w:w="5416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版本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日期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V2.0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2026-08-04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image" Target="media/manual-image-2.png" /><Relationship Id="rId4" Type="http://schemas.openxmlformats.org/officeDocument/2006/relationships/numbering" Target="numbering.xml" /><Relationship Id="rId5" Type="http://schemas.openxmlformats.org/officeDocument/2006/relationships/fontTable" Target="fontTable.xml" /><Relationship Id="rId6" Type="http://schemas.openxmlformats.org/officeDocument/2006/relationships/settings" Target="settings.xml" /><Relationship Id="rId7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金桥融通WMS仓库老板经营看板手册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