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9753600" cy="97536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系统管理员操作手册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V2.0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2026-08-04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主要读者：系统管理员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角色定位与权限边界">
        <w:r>
          <w:rPr>
            <w:rStyle w:val="Hyperlink"/>
          </w:rPr>
          <w:t>角色定位与权限边界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用户和角色范围管理">
        <w:r>
          <w:rPr>
            <w:rStyle w:val="Hyperlink"/>
          </w:rPr>
          <w:t>用户和角色范围管理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新建用户">
        <w:r>
          <w:rPr>
            <w:rStyle w:val="Hyperlink"/>
          </w:rPr>
          <w:t>新建用户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范围规则">
        <w:r>
          <w:rPr>
            <w:rStyle w:val="Hyperlink"/>
          </w:rPr>
          <w:t>范围规则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规范角色组与-仓库主管-说明">
        <w:r>
          <w:rPr>
            <w:rStyle w:val="Hyperlink"/>
          </w:rPr>
          <w:t>规范角色组与“仓库主管”说明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额外权限管理">
        <w:r>
          <w:rPr>
            <w:rStyle w:val="Hyperlink"/>
          </w:rPr>
          <w:t>额外权限管理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基础资料维护顺序">
        <w:r>
          <w:rPr>
            <w:rStyle w:val="Hyperlink"/>
          </w:rPr>
          <w:t>基础资料维护顺序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Excel-导入与批量配置">
        <w:r>
          <w:rPr>
            <w:rStyle w:val="Hyperlink"/>
          </w:rPr>
          <w:t xml:space="preserve">Excel </w:t>
        </w:r>
        <w:r>
          <w:rPr>
            <w:rStyle w:val="Hyperlink"/>
          </w:rPr>
          <w:t>导入与批量配置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商城-POS-与计费管理边界">
        <w:r>
          <w:rPr>
            <w:rStyle w:val="Hyperlink"/>
          </w:rPr>
          <w:t>商城、</w:t>
        </w:r>
        <w:r>
          <w:rPr>
            <w:rStyle w:val="Hyperlink"/>
          </w:rPr>
          <w:t xml:space="preserve">POS </w:t>
        </w:r>
        <w:r>
          <w:rPr>
            <w:rStyle w:val="Hyperlink"/>
          </w:rPr>
          <w:t>与计费管理边界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审计-账号安全与故障处理">
        <w:r>
          <w:rPr>
            <w:rStyle w:val="Hyperlink"/>
          </w:rPr>
          <w:t>审计、账号安全与故障处理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用户开通验收表">
        <w:r>
          <w:rPr>
            <w:rStyle w:val="Hyperlink"/>
          </w:rPr>
          <w:t>用户开通验收表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4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5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6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27-文档修订记录">
        <w:r>
          <w:rPr>
            <w:rStyle w:val="Hyperlink"/>
          </w:rPr>
          <w:t>文档修订记录</w:t>
        </w:r>
      </w:hyperlink>
    </w:p>
    <w:p>
      <w:pPr>
        <w:pStyle w:val="BodyText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V2.0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2026-08-04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系统管理员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超级管理员或经过审批的后台管理权限组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</w:t>
      </w:r>
      <w:r>
        <w:rPr/>
        <w:t xml:space="preserve">Web </w:t>
      </w:r>
      <w:r>
        <w:rPr/>
        <w:t xml:space="preserve">控制台 </w:t>
      </w:r>
      <w:r>
        <w:rPr/>
        <w:t>/ Django Admin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709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96"/>
        <w:gridCol w:w="6001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项目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本角色要求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角色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系统管理员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正式权限组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rStyle w:val="SourceText"/>
              </w:rPr>
              <w:t>超级管理员或经过审批的后台管理权限组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主要入口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Web </w:t>
            </w:r>
            <w:r>
              <w:rPr/>
              <w:t xml:space="preserve">控制台 </w:t>
            </w:r>
            <w:r>
              <w:rPr/>
              <w:t>/ Django Admin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数据范围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超级管理员为全局范围；普通后台账号仍受显式角色范围和权限限制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账号和数据范围"/>
      <w:bookmarkEnd w:id="3"/>
      <w:r>
        <w:rPr/>
        <w:t>账号和数据范围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通用操作原则"/>
      <w:bookmarkEnd w:id="4"/>
      <w:r>
        <w:rPr/>
        <w:t>通用操作原则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修改密码与退出"/>
      <w:bookmarkEnd w:id="5"/>
      <w:r>
        <w:rPr/>
        <w:t>修改密码与退出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5715000" cy="4019550"/>
            <wp:effectExtent l="0" t="0" r="0" b="0"/>
            <wp:docPr id="2" name="Image2" descr="" title="Web 管理后台登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Web 管理后台登录界面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>图：</w:t>
      </w:r>
      <w:r>
        <w:rPr/>
        <w:t xml:space="preserve">Web </w:t>
      </w:r>
      <w:r>
        <w:rPr/>
        <w:t>管理后台登录界面</w:t>
      </w:r>
    </w:p>
    <w:p>
      <w:pPr>
        <w:pStyle w:val="Heading2"/>
        <w:bidi w:val="0"/>
        <w:ind w:hanging="0" w:start="0" w:end="0"/>
        <w:jc w:val="start"/>
        <w:rPr/>
      </w:pPr>
      <w:bookmarkStart w:id="6" w:name="section-7-角色定位与权限边界"/>
      <w:bookmarkEnd w:id="6"/>
      <w:r>
        <w:rPr/>
        <w:t>角色定位与权限边界</w:t>
      </w:r>
    </w:p>
    <w:p>
      <w:pPr>
        <w:pStyle w:val="BodyText"/>
        <w:bidi w:val="0"/>
        <w:jc w:val="start"/>
        <w:rPr/>
      </w:pPr>
      <w:r>
        <w:rPr/>
        <w:t xml:space="preserve">系统管理员是后台管理职责，不是 </w:t>
      </w:r>
      <w:r>
        <w:rPr>
          <w:rStyle w:val="SourceText"/>
        </w:rPr>
        <w:t>UserRoleScope</w:t>
      </w:r>
      <w:r>
        <w:rPr/>
        <w:t xml:space="preserve"> </w:t>
      </w:r>
      <w:r>
        <w:rPr/>
        <w:t xml:space="preserve">中的业务角色。超级管理员通过 </w:t>
      </w:r>
      <w:r>
        <w:rPr/>
        <w:t xml:space="preserve">Django </w:t>
      </w:r>
      <w:r>
        <w:rPr>
          <w:rStyle w:val="SourceText"/>
        </w:rPr>
        <w:t>is_superuser</w:t>
      </w:r>
      <w:r>
        <w:rPr/>
        <w:t xml:space="preserve"> </w:t>
      </w:r>
      <w:r>
        <w:rPr/>
        <w:t>获得全局访问；其他后台账号仍必须通过职员状态、显式业务角色范围、规范角色组和经过审批的辅助权限组合授权。</w:t>
      </w:r>
    </w:p>
    <w:p>
      <w:pPr>
        <w:pStyle w:val="BodyText"/>
        <w:bidi w:val="0"/>
        <w:jc w:val="start"/>
        <w:rPr/>
      </w:pPr>
      <w:r>
        <w:rPr/>
        <w:t>系统管理员负责账号、角色范围、基础资料、配置和审计，不代替业务员开单、货主管理员审核、仓库管理员确认或操作员现场作业。</w:t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用户和角色范围管理"/>
      <w:bookmarkEnd w:id="7"/>
      <w:r>
        <w:rPr/>
        <w:t>用户和角色范围管理</w:t>
      </w:r>
    </w:p>
    <w:p>
      <w:pPr>
        <w:pStyle w:val="Heading3"/>
        <w:bidi w:val="0"/>
        <w:ind w:hanging="0" w:start="0" w:end="0"/>
        <w:jc w:val="start"/>
        <w:rPr/>
      </w:pPr>
      <w:bookmarkStart w:id="8" w:name="section-9-新建用户"/>
      <w:bookmarkEnd w:id="8"/>
      <w:r>
        <w:rPr/>
        <w:t>新建用户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进入“系统 → 用户”新增账号，设置唯一用户名、姓名、联系方式和初始密码。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设置账号为有效；只有需要登录 </w:t>
      </w:r>
      <w:r>
        <w:rPr/>
        <w:t xml:space="preserve">Web </w:t>
      </w:r>
      <w:r>
        <w:rPr/>
        <w:t xml:space="preserve">后台的账号才启用职员状态。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普通业务用户不要勾选超级用户。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在“用户角色范围”新增一条活动范围，选择业务角色及对应货主或仓库。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保存后系统自动同步对应规范角色组，检查“系统规范角色组”显示是否正确。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使用该角色测试账号验证入口、菜单、允许操作和数据隔离，再安全交付初始密码。 </w:t>
      </w:r>
    </w:p>
    <w:p>
      <w:pPr>
        <w:pStyle w:val="Heading3"/>
        <w:bidi w:val="0"/>
        <w:ind w:hanging="0" w:start="0" w:end="0"/>
        <w:jc w:val="start"/>
        <w:rPr/>
      </w:pPr>
      <w:bookmarkStart w:id="9" w:name="section-10-范围规则"/>
      <w:bookmarkEnd w:id="9"/>
      <w:r>
        <w:rPr/>
        <w:t>范围规则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仓库操作员、仓库管理员只能配置一个活动仓库范围。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货主业务员、货主管理员只能配置一个活动货主范围。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仓库老板可以为同一角色配置多个活动仓库范围。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同一普通用户不能同时启用多个业务角色。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超级管理员使用全局范围，不得再配置业务角色范围。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用户模型中的旧 </w:t>
      </w:r>
      <w:r>
        <w:rPr>
          <w:rStyle w:val="SourceText"/>
        </w:rPr>
        <w:t>owner</w:t>
      </w:r>
      <w:r>
        <w:rPr/>
        <w:t>、</w:t>
      </w:r>
      <w:r>
        <w:rPr>
          <w:rStyle w:val="SourceText"/>
        </w:rPr>
        <w:t>warehouse</w:t>
      </w:r>
      <w:r>
        <w:rPr/>
        <w:t xml:space="preserve"> </w:t>
      </w:r>
      <w:r>
        <w:rPr/>
        <w:t xml:space="preserve">字段仅供 </w:t>
      </w:r>
      <w:r>
        <w:rPr/>
        <w:t>POS</w:t>
      </w:r>
      <w:r>
        <w:rPr/>
        <w:t xml:space="preserve">、商城等兼容模块使用，不决定 </w:t>
      </w:r>
      <w:r>
        <w:rPr/>
        <w:t xml:space="preserve">WMS </w:t>
      </w:r>
      <w:r>
        <w:rPr/>
        <w:t xml:space="preserve">角色和数据范围。 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规范角色组与-仓库主管-说明"/>
      <w:bookmarkEnd w:id="10"/>
      <w:r>
        <w:rPr/>
        <w:t>规范角色组与“仓库主管”说明</w:t>
      </w:r>
    </w:p>
    <w:p>
      <w:pPr>
        <w:pStyle w:val="BodyText"/>
        <w:bidi w:val="0"/>
        <w:jc w:val="start"/>
        <w:rPr/>
      </w:pPr>
      <w:r>
        <w:rPr/>
        <w:t>系统规范角色组包括：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WMS::</w:t>
      </w:r>
      <w:r>
        <w:rPr>
          <w:rStyle w:val="SourceText"/>
        </w:rPr>
        <w:t>仓库操作员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WMS::</w:t>
      </w:r>
      <w:r>
        <w:rPr>
          <w:rStyle w:val="SourceText"/>
        </w:rPr>
        <w:t>仓库管理员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WMS::</w:t>
      </w:r>
      <w:r>
        <w:rPr>
          <w:rStyle w:val="SourceText"/>
        </w:rPr>
        <w:t>仓库老板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WMS::</w:t>
      </w:r>
      <w:r>
        <w:rPr>
          <w:rStyle w:val="SourceText"/>
        </w:rPr>
        <w:t>货主管理员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WMS::</w:t>
      </w:r>
      <w:r>
        <w:rPr>
          <w:rStyle w:val="SourceText"/>
        </w:rPr>
        <w:t>货主业务员</w:t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>规范角色组名称固定，由角色范围自动同步，不应手工改名或删除。需要调整规范权限模板时应通过代码、迁移和测试发布，不能在生产环境临时修改后不留记录。</w:t>
      </w:r>
    </w:p>
    <w:p>
      <w:pPr>
        <w:pStyle w:val="BodyText"/>
        <w:bidi w:val="0"/>
        <w:jc w:val="start"/>
        <w:rPr/>
      </w:pPr>
      <w:r>
        <w:rPr/>
        <w:t>“</w:t>
      </w:r>
      <w:r>
        <w:rPr/>
        <w:t xml:space="preserve">仓库主管”是旧兼容组名，当前会识别为仓库老板角色。企业内部的作业主管若要确认单据、管理任务，应配置 </w:t>
      </w:r>
      <w:r>
        <w:rPr>
          <w:rStyle w:val="SourceText"/>
        </w:rPr>
        <w:t>WMS::</w:t>
      </w:r>
      <w:r>
        <w:rPr>
          <w:rStyle w:val="SourceText"/>
        </w:rPr>
        <w:t>仓库管理员</w:t>
      </w:r>
      <w:r>
        <w:rPr/>
        <w:t>，不能创建或沿用名为“仓库主管”的组。</w:t>
      </w:r>
    </w:p>
    <w:p>
      <w:pPr>
        <w:pStyle w:val="Heading2"/>
        <w:bidi w:val="0"/>
        <w:ind w:hanging="0" w:start="0" w:end="0"/>
        <w:jc w:val="start"/>
        <w:rPr/>
      </w:pPr>
      <w:bookmarkStart w:id="11" w:name="section-12-额外权限管理"/>
      <w:bookmarkEnd w:id="11"/>
      <w:r>
        <w:rPr/>
        <w:t>额外权限管理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 </w:t>
      </w:r>
      <w:r>
        <w:rPr/>
        <w:t xml:space="preserve">Excel </w:t>
      </w:r>
      <w:r>
        <w:rPr/>
        <w:t>导入、</w:t>
      </w:r>
      <w:r>
        <w:rPr/>
        <w:t>POS</w:t>
      </w:r>
      <w:r>
        <w:rPr/>
        <w:t xml:space="preserve">、计费、报表导出、商城运营等不一定属于规范角色默认权限，应使用经过审批的辅助权限组。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优先使用权限组，不给个人账号长期追加零散权限。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删除、直接库存调整、计费规则、退款、支付状态、批量导入和用户授权属于高风险权限。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每次权限变化后检查审计事件，并使用边界数据验证不能访问其他货主或仓库。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不得用额外权限绕过显式角色范围；权限授予能力，角色范围限制能够触达的数据。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基础资料维护顺序"/>
      <w:bookmarkEnd w:id="12"/>
      <w:r>
        <w:rPr/>
        <w:t>基础资料维护顺序</w:t>
      </w:r>
    </w:p>
    <w:p>
      <w:pPr>
        <w:pStyle w:val="BodyText"/>
        <w:bidi w:val="0"/>
        <w:jc w:val="start"/>
        <w:rPr/>
      </w:pPr>
      <w:r>
        <w:rPr/>
        <w:t>建议按以下顺序建档：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仓库、子仓、库位及货主—仓库授权关系。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商品分类、品牌、商品、基本单位、辅助单位和包装换算。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客户、供应商、承运商、司机和车辆。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入库、出库、分配、拣货和效期策略。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计费规则、阶梯和账期。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用户、显式角色范围及必要的辅助权限。 </w:t>
      </w:r>
    </w:p>
    <w:p>
      <w:pPr>
        <w:pStyle w:val="BodyText"/>
        <w:bidi w:val="0"/>
        <w:jc w:val="start"/>
        <w:rPr/>
      </w:pPr>
      <w:r>
        <w:rPr/>
        <w:t>商品编码、</w:t>
      </w:r>
      <w:r>
        <w:rPr/>
        <w:t>SKU</w:t>
      </w:r>
      <w:r>
        <w:rPr/>
        <w:t>、</w:t>
      </w:r>
      <w:r>
        <w:rPr/>
        <w:t xml:space="preserve">GTIN </w:t>
      </w:r>
      <w:r>
        <w:rPr/>
        <w:t>和条码应唯一稳定；基本单位是库存记账单位。修改包装换算、批次</w:t>
      </w:r>
      <w:r>
        <w:rPr/>
        <w:t>/</w:t>
      </w:r>
      <w:r>
        <w:rPr/>
        <w:t>效期控制或停用商品前，必须确认没有未完成单据、任务和库存影响。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Excel-导入与批量配置"/>
      <w:bookmarkEnd w:id="13"/>
      <w:r>
        <w:rPr/>
        <w:t xml:space="preserve">Excel </w:t>
      </w:r>
      <w:r>
        <w:rPr/>
        <w:t>导入与批量配置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使用系统当前页面下载的模板，不复用历史模板。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商品导入按权限和数据范围校验，整批原子处理；任意错误会阻止整批写入。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公式、重复标识、其他货主数据、无效扩展名和超限文件会被拒绝。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SKU </w:t>
      </w:r>
      <w:r>
        <w:rPr/>
        <w:t xml:space="preserve">由系统规则生成时，用户模板中的 </w:t>
      </w:r>
      <w:r>
        <w:rPr/>
        <w:t xml:space="preserve">SKU </w:t>
      </w:r>
      <w:r>
        <w:rPr/>
        <w:t xml:space="preserve">不作为覆盖依据。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无订单批量入库、一件代发导入与商品主数据导入用途不同，禁止混用模板。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导入后保存结果、审计记录和抽查样本，不能只依据前端提示判断成功。 </w:t>
      </w:r>
    </w:p>
    <w:p>
      <w:pPr>
        <w:pStyle w:val="Heading2"/>
        <w:bidi w:val="0"/>
        <w:ind w:hanging="0" w:start="0" w:end="0"/>
        <w:jc w:val="start"/>
        <w:rPr/>
      </w:pPr>
      <w:bookmarkStart w:id="14" w:name="section-15-商城-POS-与计费管理边界"/>
      <w:bookmarkEnd w:id="14"/>
      <w:r>
        <w:rPr/>
        <w:t>商城、</w:t>
      </w:r>
      <w:r>
        <w:rPr/>
        <w:t xml:space="preserve">POS </w:t>
      </w:r>
      <w:r>
        <w:rPr/>
        <w:t>与计费管理边界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权限、打印配置、撤销和退款按专项 </w:t>
      </w:r>
      <w:r>
        <w:rPr/>
        <w:t xml:space="preserve">POS </w:t>
      </w:r>
      <w:r>
        <w:rPr/>
        <w:t>手册管理；</w:t>
      </w:r>
      <w:r>
        <w:rPr/>
        <w:t xml:space="preserve">POS </w:t>
      </w:r>
      <w:r>
        <w:rPr/>
        <w:t xml:space="preserve">销售通过统一任务和过账链路影响库存。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商城上架、支付、退款、评价审核和批量配置按商城专项指南管理；商城买家不配置 </w:t>
      </w:r>
      <w:r>
        <w:rPr/>
        <w:t xml:space="preserve">WMS </w:t>
      </w:r>
      <w:r>
        <w:rPr/>
        <w:t xml:space="preserve">业务角色。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计费规则、账期锁定、开票和解锁属于高风险财务操作，应保留审批依据和审计记录。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系统管理员可以维护配置和排查异常，但不能代替货主或仓库确认业务事实。 </w:t>
      </w:r>
    </w:p>
    <w:p>
      <w:pPr>
        <w:pStyle w:val="Heading2"/>
        <w:bidi w:val="0"/>
        <w:ind w:hanging="0" w:start="0" w:end="0"/>
        <w:jc w:val="start"/>
        <w:rPr/>
      </w:pPr>
      <w:bookmarkStart w:id="15" w:name="section-16-审计-账号安全与故障处理"/>
      <w:bookmarkEnd w:id="15"/>
      <w:r>
        <w:rPr/>
        <w:t>审计、账号安全与故障处理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在审计事件和 </w:t>
      </w:r>
      <w:r>
        <w:rPr/>
        <w:t xml:space="preserve">Admin </w:t>
      </w:r>
      <w:r>
        <w:rPr/>
        <w:t xml:space="preserve">日志中按用户名、时间、模块和操作类型查询。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发现异常新增、修改、删除、导入、导出或授权时，先停用可疑账号并保留日志。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遗忘密码走重置流程；管理员不得读取、传播或在群聊中发送明文密码。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角色范围冲突、缺失规范组或范围与组不一致时，账号应保持拒绝访问，修正配置后再验证。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库存、订单、支付和账单异常应先保全事实记录，不直接改数据库或删除流水。 </w:t>
      </w:r>
    </w:p>
    <w:p>
      <w:pPr>
        <w:pStyle w:val="BodyText"/>
        <w:bidi w:val="0"/>
        <w:jc w:val="start"/>
        <w:rPr/>
      </w:pPr>
      <w:r>
        <w:rPr/>
        <w:t>服务器部署、数据库备份恢复、域名证书、服务启停和版本回滚属于独立运维流程，本手册不授权在生产服务器直接操作。</w:t>
      </w:r>
    </w:p>
    <w:p>
      <w:pPr>
        <w:pStyle w:val="Heading2"/>
        <w:bidi w:val="0"/>
        <w:ind w:hanging="0" w:start="0" w:end="0"/>
        <w:jc w:val="start"/>
        <w:rPr/>
      </w:pPr>
      <w:bookmarkStart w:id="16" w:name="section-17-用户开通验收表"/>
      <w:bookmarkEnd w:id="16"/>
      <w:r>
        <w:rPr/>
        <w:t>用户开通验收表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用户名唯一，姓名和联系方式正确。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账号有效，职员</w:t>
      </w:r>
      <w:r>
        <w:rPr/>
        <w:t>/</w:t>
      </w:r>
      <w:r>
        <w:rPr/>
        <w:t xml:space="preserve">超级用户状态符合用途。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只有一种业务角色，货主或仓库范围正确。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规范角色组已自动同步，没有无关高权限组。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老板多仓范围逐仓验证，其他角色没有多活动范围。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登录入口、菜单和岗位一致。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不能查看其他货主或仓库数据。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高风险按钮只对授权人员可见且服务端会再次校验。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初始密码已安全交付并要求首次修改。 </w:t>
      </w:r>
    </w:p>
    <w:p>
      <w:pPr>
        <w:pStyle w:val="Heading2"/>
        <w:bidi w:val="0"/>
        <w:ind w:hanging="0" w:start="0" w:end="0"/>
        <w:jc w:val="start"/>
        <w:rPr/>
      </w:pPr>
      <w:bookmarkStart w:id="17" w:name="section-18-常见状态与控制点"/>
      <w:bookmarkEnd w:id="17"/>
      <w:r>
        <w:rPr/>
        <w:t>常见状态与控制点</w:t>
      </w:r>
    </w:p>
    <w:tbl>
      <w:tblPr>
        <w:tblW w:w="1092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061"/>
        <w:gridCol w:w="3031"/>
        <w:gridCol w:w="4831"/>
      </w:tblGrid>
      <w:tr>
        <w:trPr>
          <w:tblHeader w:val="true"/>
        </w:trPr>
        <w:tc>
          <w:tcPr>
            <w:tcW w:w="30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状态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含义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操作要求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草稿 </w:t>
            </w:r>
            <w:r>
              <w:rPr/>
              <w:t>/ DRAFT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单据尚未正式提交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原创建人可在权限允许时修改、提交或删除未生效内容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待货主审核 </w:t>
            </w:r>
            <w:r>
              <w:rPr/>
              <w:t>/ OWNER_PENDING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业务员已经提交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等待货主管理员通过、退回或取消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货主已通过 </w:t>
            </w:r>
            <w:r>
              <w:rPr/>
              <w:t>/ OWNER_APPROVED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商业条件已确认，库存可能已冻结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等待仓库管理员确认并发布任务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待仓库确认 </w:t>
            </w:r>
            <w:r>
              <w:rPr/>
              <w:t>/ WHS_PENDING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等待仓库接单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仓库管理员检查仓库、库存和履约条件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仓库已确认 </w:t>
            </w:r>
            <w:r>
              <w:rPr/>
              <w:t>/ WHS_APPROVED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已进入仓库履约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不得随意修改原订单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保留 </w:t>
            </w:r>
            <w:r>
              <w:rPr/>
              <w:t>/ RESERVED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任务已因货主审核创建但尚未发布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仓库确认前不得现场执行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待发布 </w:t>
            </w:r>
            <w:r>
              <w:rPr/>
              <w:t>/ READY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任务具备发布条件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由仓库管理员发布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已发布 </w:t>
            </w:r>
            <w:r>
              <w:rPr/>
              <w:t>/ RELEASED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操作员可以领取或执行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按任务逐行扫描作业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执行中 </w:t>
            </w:r>
            <w:r>
              <w:rPr/>
              <w:t>/ IN_PROGRESS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已发生现场作业记录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继续完成剩余任务行，不得另建重复任务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已完成 </w:t>
            </w:r>
            <w:r>
              <w:rPr/>
              <w:t>/ COMPLETED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作业数量已经完成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等待复核、审核或过账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待审核 </w:t>
            </w:r>
            <w:r>
              <w:rPr/>
              <w:t>/ 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需要复核或管理确认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核对实物、数量、批次和库位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已过账 </w:t>
            </w:r>
            <w:r>
              <w:rPr/>
              <w:t>/ POSTED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库存影响已正式生效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错误只能通过规范冲销或批准的调整处理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过账失败 </w:t>
            </w:r>
            <w:r>
              <w:rPr/>
              <w:t>/ FAILED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库存写入没有成功完成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保留原任务号和错误信息，交管理员处理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已驳回 </w:t>
            </w:r>
            <w:r>
              <w:rPr/>
              <w:t>/ REJECTED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审核未通过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查看原因并按流程修改、重提或终止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已取消 </w:t>
            </w:r>
            <w:r>
              <w:rPr/>
              <w:t>/ CANCELLED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单据或任务终止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核对冻结库存是否释放、现场实物是否隔离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8" w:name="section-19-异常处理与问题上报"/>
      <w:bookmarkEnd w:id="18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19" w:name="section-20-无法登录或菜单缺失"/>
      <w:bookmarkEnd w:id="19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>按“网络 → 入口 → 用户名和密码 → 账号启用状态 → 职员状态 → 角色范围 → 规范角色组 → 额外权限”的顺序检查。连续失败后停止尝试，由系统管理员查看账号和审计日志。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20" w:name="section-21-数据为空或范围不正确"/>
      <w:bookmarkEnd w:id="20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21" w:name="section-22-网络超时或重复提交提示"/>
      <w:bookmarkEnd w:id="21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Heading3"/>
        <w:bidi w:val="0"/>
        <w:ind w:hanging="0" w:start="0" w:end="0"/>
        <w:jc w:val="start"/>
        <w:rPr/>
      </w:pPr>
      <w:bookmarkStart w:id="22" w:name="section-23-库存-任务或账单不一致"/>
      <w:bookmarkEnd w:id="22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23" w:name="section-24-问题上报模板"/>
      <w:bookmarkEnd w:id="23"/>
      <w:r>
        <w:rPr/>
        <w:t>问题上报模板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商品编码、批次、库位和数量：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24" w:name="section-25-日常自检与培训验收"/>
      <w:bookmarkEnd w:id="24"/>
      <w:r>
        <w:rPr/>
        <w:t>日常自检与培训验收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25" w:name="section-26-专项手册与边界"/>
      <w:bookmarkEnd w:id="25"/>
      <w:r>
        <w:rPr/>
        <w:t>专项手册与边界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收银、退款、交班和 </w:t>
      </w:r>
      <w:r>
        <w:rPr/>
        <w:t xml:space="preserve">POS </w:t>
      </w:r>
      <w:r>
        <w:rPr/>
        <w:t xml:space="preserve">对账参见 </w:t>
      </w:r>
      <w:r>
        <w:rPr>
          <w:rStyle w:val="SourceText"/>
        </w:rPr>
        <w:t>docs/pos_user_manual.md</w:t>
      </w:r>
      <w:r>
        <w:rPr/>
        <w:t xml:space="preserve">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 </w:t>
      </w:r>
      <w:r>
        <w:rPr>
          <w:rStyle w:val="SourceText"/>
        </w:rPr>
        <w:t>docs/sales-miniapp-user-guide.md</w:t>
      </w:r>
      <w:r>
        <w:rPr/>
        <w:t xml:space="preserve">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26" w:name="section-27-文档修订记录"/>
      <w:bookmarkEnd w:id="26"/>
      <w:r>
        <w:rPr/>
        <w:t>文档修订记录</w:t>
      </w:r>
    </w:p>
    <w:tbl>
      <w:tblPr>
        <w:tblW w:w="693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11"/>
        <w:gridCol w:w="1006"/>
        <w:gridCol w:w="5416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版本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日期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V2.0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2026-08-04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image" Target="media/manual-image-2.png" /><Relationship Id="rId4" Type="http://schemas.openxmlformats.org/officeDocument/2006/relationships/numbering" Target="numbering.xml" /><Relationship Id="rId5" Type="http://schemas.openxmlformats.org/officeDocument/2006/relationships/fontTable" Target="fontTable.xml" /><Relationship Id="rId6" Type="http://schemas.openxmlformats.org/officeDocument/2006/relationships/settings" Target="settings.xml" /><Relationship Id="rId7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金桥融通WMS系统管理员操作手册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