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838200" cy="8382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仓库老板经营看板手册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V2.2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2026-10-17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主要读者：仓库老板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pageBreakBefore w:val="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登录失效与切换账号">
        <w:r>
          <w:rPr>
            <w:rStyle w:val="Hyperlink"/>
          </w:rPr>
          <w:t>登录失效与切换账号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角色职责与只读边界">
        <w:r>
          <w:rPr>
            <w:rStyle w:val="Hyperlink"/>
          </w:rPr>
          <w:t>角色职责与只读边界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登录与范围确认">
        <w:r>
          <w:rPr>
            <w:rStyle w:val="Hyperlink"/>
          </w:rPr>
          <w:t>登录与范围确认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筛选-刷新与失败恢复">
        <w:r>
          <w:rPr>
            <w:rStyle w:val="Hyperlink"/>
          </w:rPr>
          <w:t>筛选、刷新与失败恢复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首页总览">
        <w:r>
          <w:rPr>
            <w:rStyle w:val="Hyperlink"/>
          </w:rPr>
          <w:t>首页总览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库存与库容">
        <w:r>
          <w:rPr>
            <w:rStyle w:val="Hyperlink"/>
          </w:rPr>
          <w:t>库存与库容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收入与计费">
        <w:r>
          <w:rPr>
            <w:rStyle w:val="Hyperlink"/>
          </w:rPr>
          <w:t>收入与计费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预警中心">
        <w:r>
          <w:rPr>
            <w:rStyle w:val="Hyperlink"/>
          </w:rPr>
          <w:t>预警中心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经营驾驶舱">
        <w:r>
          <w:rPr>
            <w:rStyle w:val="Hyperlink"/>
          </w:rPr>
          <w:t>经营驾驶舱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经营例会建议">
        <w:r>
          <w:rPr>
            <w:rStyle w:val="Hyperlink"/>
          </w:rPr>
          <w:t>经营例会建议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老板日常检查表">
        <w:r>
          <w:rPr>
            <w:rStyle w:val="Hyperlink"/>
          </w:rPr>
          <w:t>老板日常检查表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打印失败或打印页过期">
        <w:r>
          <w:rPr>
            <w:rStyle w:val="Hyperlink"/>
          </w:rPr>
          <w:t>打印失败或打印页过期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移库-补货过账失败">
        <w:r>
          <w:rPr>
            <w:rStyle w:val="Hyperlink"/>
          </w:rPr>
          <w:t>移库、补货过账失败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7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8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9-文档修订记录">
        <w:r>
          <w:rPr>
            <w:rStyle w:val="Hyperlink"/>
          </w:rPr>
          <w:t>文档修订记录</w:t>
        </w:r>
      </w:hyperlink>
    </w:p>
    <w:p>
      <w:pPr>
        <w:pStyle w:val="BodyText"/>
        <w:pageBreakBefore w:val="1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V2.2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2026-10-17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仓储经营分析中心（</w:t>
      </w:r>
      <w:r>
        <w:rPr/>
        <w:t>wmsbossbilling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598"/>
        <w:gridCol w:w="7451"/>
      </w:tblGrid>
      <w:tr>
        <w:trPr>
          <w:tblHeader w:val="true"/>
        </w:trPr>
        <w:tc>
          <w:tcPr>
            <w:tcW w:w="259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项目</w:t>
            </w:r>
          </w:p>
        </w:tc>
        <w:tc>
          <w:tcPr>
            <w:tcW w:w="745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本角色要求</w:t>
            </w:r>
          </w:p>
        </w:tc>
      </w:tr>
      <w:tr>
        <w:trPr/>
        <w:tc>
          <w:tcPr>
            <w:tcW w:w="259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角色</w:t>
            </w:r>
          </w:p>
        </w:tc>
        <w:tc>
          <w:tcPr>
            <w:tcW w:w="745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仓库老板</w:t>
            </w:r>
          </w:p>
        </w:tc>
      </w:tr>
      <w:tr>
        <w:trPr/>
        <w:tc>
          <w:tcPr>
            <w:tcW w:w="259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正式权限组</w:t>
            </w:r>
          </w:p>
        </w:tc>
        <w:tc>
          <w:tcPr>
            <w:tcW w:w="745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ourceText"/>
                <w:sz w:val="18"/>
              </w:rPr>
              <w:t>WMS::</w:t>
            </w:r>
            <w:r>
              <w:rPr>
                <w:rStyle w:val="SourceText"/>
                <w:sz w:val="18"/>
              </w:rPr>
              <w:t>仓库老板</w:t>
            </w:r>
          </w:p>
        </w:tc>
      </w:tr>
      <w:tr>
        <w:trPr/>
        <w:tc>
          <w:tcPr>
            <w:tcW w:w="259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主要入口</w:t>
            </w:r>
          </w:p>
        </w:tc>
        <w:tc>
          <w:tcPr>
            <w:tcW w:w="745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仓储经营分析中心（</w:t>
            </w:r>
            <w:r>
              <w:rPr>
                <w:sz w:val="18"/>
              </w:rPr>
              <w:t>wmsbossbilling</w:t>
            </w:r>
            <w:r>
              <w:rPr>
                <w:sz w:val="18"/>
              </w:rPr>
              <w:t>）</w:t>
            </w:r>
          </w:p>
        </w:tc>
      </w:tr>
      <w:tr>
        <w:trPr/>
        <w:tc>
          <w:tcPr>
            <w:tcW w:w="259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数据范围</w:t>
            </w:r>
          </w:p>
        </w:tc>
        <w:tc>
          <w:tcPr>
            <w:tcW w:w="745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一个或多个明确授权的仓库范围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登录失效与切换账号"/>
      <w:bookmarkEnd w:id="3"/>
      <w:r>
        <w:rPr/>
        <w:t>登录失效与切换账号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使用管理员提供的正式入口；客户端的服务地址由部署配置决定，不在登录页自行改接其他服务器。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使用过程中客户端会尝试续期登录。临时断网或服务器繁忙时先检查网络，恢复后重新查询当前单据；不能把网络故障当成业务未提交。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明确提示登录失效并返回登录页时，重新登录本人账号，再核对角色、仓库或货主范围。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看到“登录账号已变化”或“登录状态已变化”时停止当前操作，刷新页面并重新选择业务对象。旧账号的页面结果不能作为新账号继续操作的依据。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连续登录过频时按提示等待，不连续点击；仍不能登录则联系管理员检查账号。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账号和数据范围"/>
      <w:bookmarkEnd w:id="4"/>
      <w:r>
        <w:rPr/>
        <w:t>账号和数据范围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通用操作原则"/>
      <w:bookmarkEnd w:id="5"/>
      <w:r>
        <w:rPr/>
        <w:t>通用操作原则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6" w:name="section-7-修改密码与退出"/>
      <w:bookmarkEnd w:id="6"/>
      <w:r>
        <w:rPr/>
        <w:t>修改密码与退出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切换账号前先记录尚未确认的单号、任务号及收付款结果；下一位人员使用自己的账号重新打开业务页面，不接着提交上一账号遗留的内容。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角色职责与只读边界"/>
      <w:bookmarkEnd w:id="7"/>
      <w:r>
        <w:rPr/>
        <w:t>角色职责与只读边界</w:t>
      </w:r>
    </w:p>
    <w:p>
      <w:pPr>
        <w:pStyle w:val="BodyText"/>
        <w:bidi w:val="0"/>
        <w:jc w:val="start"/>
        <w:rPr/>
      </w:pPr>
      <w:r>
        <w:rPr/>
        <w:t xml:space="preserve">仓库老板通过“仓储经营分析中心”查看一个或多个授权仓库的经营、库存、计费和预警。规范角色组为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  <w:r>
        <w:rPr/>
        <w:t>；这是唯一允许同一账号配置多个活动仓库范围的业务角色。</w:t>
      </w:r>
    </w:p>
    <w:p>
      <w:pPr>
        <w:pStyle w:val="BodyText"/>
        <w:bidi w:val="0"/>
        <w:jc w:val="start"/>
        <w:rPr/>
      </w:pPr>
      <w:r>
        <w:rPr/>
        <w:t>仓库老板默认角色模板拥有老板看板、仓库运营、仓库财务、报表导出和例会快照创建权限。经营分析中心用于查看经营数据及按权限保存分析快照，不用于开单、审批、库存调整、任务发布或过账。</w:t>
      </w:r>
    </w:p>
    <w:p>
      <w:pPr>
        <w:pStyle w:val="BodyText"/>
        <w:bidi w:val="0"/>
        <w:jc w:val="start"/>
        <w:rPr/>
      </w:pPr>
      <w:r>
        <w:rPr/>
        <w:t xml:space="preserve">旧用户组“仓库主管”会作为仓库老板兼容别名识别。需要执行仓库确认和任务管理的作业主管应使用 </w:t>
      </w: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>，不能使用本角色。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登录与范围确认"/>
      <w:bookmarkEnd w:id="8"/>
      <w:r>
        <w:rPr/>
        <w:t>登录与范围确认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登录“仓储经营分析中心”，核对显示姓名、仓库名称和货主范围。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多仓账号只能看到已配置的仓库；切换范围后确认页面数据截至时间。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使用“全部货主”查看仓库整体，或选择具体货主进行对比。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数据为空时先核对仓库与日期范围，不要要求系统管理员临时扩大权限。 </w:t>
      </w:r>
    </w:p>
    <w:p>
      <w:pPr>
        <w:pStyle w:val="Heading3"/>
        <w:bidi w:val="0"/>
        <w:ind w:hanging="0" w:start="0" w:end="0"/>
        <w:jc w:val="start"/>
        <w:rPr/>
      </w:pPr>
      <w:bookmarkStart w:id="9" w:name="section-10-筛选-刷新与失败恢复"/>
      <w:bookmarkEnd w:id="9"/>
      <w:r>
        <w:rPr/>
        <w:t>筛选、刷新与失败恢复</w:t>
      </w:r>
    </w:p>
    <w:p>
      <w:pPr>
        <w:pStyle w:val="BodyText"/>
        <w:bidi w:val="0"/>
        <w:jc w:val="start"/>
        <w:rPr/>
      </w:pPr>
      <w:r>
        <w:rPr/>
        <w:t>“</w:t>
      </w:r>
      <w:r>
        <w:rPr/>
        <w:t>全部仓库”仅包含当前账号已授权仓库。仓库、货主和日期选择会在经营页面间沿用，打开下钻页或返回总览后先看筛选栏，不能把上一次单仓结果当作全部仓库结果。</w:t>
      </w:r>
    </w:p>
    <w:p>
      <w:pPr>
        <w:pStyle w:val="BodyText"/>
        <w:bidi w:val="0"/>
        <w:jc w:val="start"/>
        <w:rPr/>
      </w:pPr>
      <w:r>
        <w:rPr/>
        <w:t xml:space="preserve">日期使用有效的起止日，开始日不能晚于结束日，结束日不能晚于系统当天；最大范围为含首尾的 </w:t>
      </w:r>
      <w:r>
        <w:rPr/>
        <w:t xml:space="preserve">367 </w:t>
      </w:r>
      <w:r>
        <w:rPr/>
        <w:t>天。默认通常为当月开始至当天，以页面实际筛选栏为准。改范围后等待新结果；加载或查询失败时按提示重试，旧结果不作为当前范围的最新数据。</w:t>
      </w:r>
    </w:p>
    <w:p>
      <w:pPr>
        <w:pStyle w:val="BodyText"/>
        <w:bidi w:val="0"/>
        <w:jc w:val="start"/>
        <w:rPr/>
      </w:pPr>
      <w:r>
        <w:rPr/>
        <w:t>库位、预警或收费记录翻页失败时重试原页，不跳过失败页。导出被拒绝时记录服务器原因并检查范围、权限和日期，不把下载失败当成空报表。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首页总览"/>
      <w:bookmarkEnd w:id="10"/>
      <w:r>
        <w:rPr/>
        <w:t>首页总览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查看“今日实际收发量”、库存 </w:t>
      </w:r>
      <w:r>
        <w:rPr/>
        <w:t>SKU</w:t>
      </w:r>
      <w:r>
        <w:rPr/>
        <w:t xml:space="preserve">、库位占用率、体积利用率、“所选区间应计”、逾期应收和预警数。今日实绩与所选区间费用使用不同时间口径，不能混作同一天指标。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在“今日作业节奏”比较今日新任务完成量、完成率和当前积压。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查看收入贡献排行、占仓 </w:t>
      </w:r>
      <w:r>
        <w:rPr/>
        <w:t xml:space="preserve">Top </w:t>
      </w:r>
      <w:r>
        <w:rPr/>
        <w:t xml:space="preserve">货主和近 </w:t>
      </w:r>
      <w:r>
        <w:rPr/>
        <w:t xml:space="preserve">7 </w:t>
      </w:r>
      <w:r>
        <w:rPr/>
        <w:t xml:space="preserve">天趋势。库存数量按单位分组，金额按原币分组；不同单位或币种不能直接相加。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对完成率下降、积压增加、占仓高但收入低或预警集中项进入对应页面追踪。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页面上的“实绩截至”用于判断数据新鲜度；数据未更新时先确认报表刷新状态。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草稿账单不计入已出账，收入贡献排行当前不含成本，不能把应计收入称为已收现金或利润。页面提示旧数据、缺失或估算时保留该说明后再用于会议。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库存与库容"/>
      <w:bookmarkEnd w:id="11"/>
      <w:r>
        <w:rPr/>
        <w:t>库存与库容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切换仓库和货主范围，查看在库、可用、</w:t>
      </w:r>
      <w:r>
        <w:rPr/>
        <w:t xml:space="preserve">7 </w:t>
      </w:r>
      <w:r>
        <w:rPr/>
        <w:t>天临期、</w:t>
      </w:r>
      <w:r>
        <w:rPr/>
        <w:t xml:space="preserve">30 </w:t>
      </w:r>
      <w:r>
        <w:rPr/>
        <w:t xml:space="preserve">天未变化、库位占用率和体积利用率。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查看货主占仓排行和高占用热区，识别仓容紧张区域。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查看低效冷区、临期库存和呆滞库存明细。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点击库存明细追溯商品、货主和库位；看板数值用于经营判断，库存处置必须交仓库按业务流程执行。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呆滞口径以系统当前展示说明为准，不把代理指标直接当作财务减值结论。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收入与计费"/>
      <w:bookmarkEnd w:id="12"/>
      <w:r>
        <w:rPr/>
        <w:t>收入与计费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按仓库、货主、收费类型、日期和应计状态筛选。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查看货主数、应计条数、不含税小计、税额、价税合计和已出账金额。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通过货主排名、收费结构、状态分布和每日趋势判断收入质量。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点击货主、最近收费记录或账单进入明细，追溯服务日期、费用类型、数量、单价和金额；金额比较须使用相同币种和时间范围。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在账单详情按日期、费用类型和关键词筛选，分别核对整单金额与当前筛选小计。点击可下钻的账单行查看对应收费记录；这与货主端只展示费用行的入口不同。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发现金额异常时记录范围、账期、收费类型和来源单号，交货主管理员与财务核对，不在老板端修改。</w:t>
      </w:r>
      <w:r>
        <w:rPr/>
        <w:t xml:space="preserve">POS </w:t>
      </w:r>
      <w:r>
        <w:rPr/>
        <w:t xml:space="preserve">客户欠款与仓储服务账单是不同业务，不能用此看板代办客户还款或交班。 </w:t>
      </w:r>
    </w:p>
    <w:p>
      <w:pPr>
        <w:pStyle w:val="BodyText"/>
        <w:bidi w:val="0"/>
        <w:jc w:val="start"/>
        <w:rPr/>
      </w:pPr>
      <w:r>
        <w:rPr/>
        <w:t xml:space="preserve">从货主明细进入账单，再进入收费记录时，保留仓库、货主和日期上下文；返回后核对筛选与分页。费用更新后重新查询整条下钻链路，不能混用刷新前后的总额与明细。按面积月费分摊的日应计，以服务日期所在月份天数计算，不用统一 </w:t>
      </w:r>
      <w:r>
        <w:rPr/>
        <w:t xml:space="preserve">30 </w:t>
      </w:r>
      <w:r>
        <w:rPr/>
        <w:t>天手工估算。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预警中心"/>
      <w:bookmarkEnd w:id="13"/>
      <w:r>
        <w:rPr/>
        <w:t>预警中心</w:t>
      </w:r>
    </w:p>
    <w:p>
      <w:pPr>
        <w:pStyle w:val="BodyText"/>
        <w:bidi w:val="0"/>
        <w:jc w:val="start"/>
        <w:rPr/>
      </w:pPr>
      <w:r>
        <w:rPr/>
        <w:t>预警中心集中展示当前代码提供的经营关注项，例如超期任务、逾期账单、计费任务失败、待复核任务、临期库存和复核差异。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先按风险级别和数量判断优先级。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打开预警项核对仓库、货主、单号、发生时间和当前状态。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将任务类问题交仓库管理员，订单</w:t>
      </w:r>
      <w:r>
        <w:rPr/>
        <w:t>/</w:t>
      </w:r>
      <w:r>
        <w:rPr/>
        <w:t xml:space="preserve">账单类问题交货主管理员或财务，系统故障交系统管理员。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后续回到预警中心确认数量下降或状态关闭，不能只依赖口头反馈。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经营驾驶舱"/>
      <w:bookmarkEnd w:id="14"/>
      <w:r>
        <w:rPr/>
        <w:t>经营驾驶舱</w:t>
      </w:r>
    </w:p>
    <w:p>
      <w:pPr>
        <w:pStyle w:val="BodyText"/>
        <w:bidi w:val="0"/>
        <w:jc w:val="start"/>
        <w:rPr/>
      </w:pPr>
      <w:r>
        <w:rPr/>
        <w:t>从导航进入“经营驾驶舱”，先核对沿用的仓库、货主和日期，再切换标签。每次切换后等待当前标签加载成功，关注数据截至时间、近似来源或不可用提示。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854"/>
        <w:gridCol w:w="9196"/>
      </w:tblGrid>
      <w:tr>
        <w:trPr>
          <w:tblHeader w:val="true"/>
        </w:trPr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标签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阅读与交接重点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收入保障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未定价、漏应计、晚到费用、近似来源、计费失败、待关账及关账阻断；交财务或系统管理员追溯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应收回款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按原币看未收余额及滚动 </w:t>
            </w:r>
            <w:r>
              <w:rPr>
                <w:sz w:val="18"/>
              </w:rPr>
              <w:t xml:space="preserve">90 </w:t>
            </w:r>
            <w:r>
              <w:rPr>
                <w:sz w:val="18"/>
              </w:rPr>
              <w:t xml:space="preserve">天 </w:t>
            </w:r>
            <w:r>
              <w:rPr>
                <w:sz w:val="18"/>
              </w:rPr>
              <w:t>DSO</w:t>
            </w:r>
            <w:r>
              <w:rPr>
                <w:sz w:val="18"/>
              </w:rPr>
              <w:t>（回款周期指标）；“不可用”不能当成零天，余额不等于本期收入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运营履约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实际入出库单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行、订单级准时率、齐套率、</w:t>
            </w:r>
            <w:r>
              <w:rPr>
                <w:sz w:val="18"/>
              </w:rPr>
              <w:t>OTIF</w:t>
            </w:r>
            <w:r>
              <w:rPr>
                <w:sz w:val="18"/>
              </w:rPr>
              <w:t>（按时足量交付）、</w:t>
            </w:r>
            <w:r>
              <w:rPr>
                <w:sz w:val="18"/>
              </w:rPr>
              <w:t xml:space="preserve">SLA </w:t>
            </w:r>
            <w:r>
              <w:rPr>
                <w:sz w:val="18"/>
              </w:rPr>
              <w:t>覆盖率、履约周期和任务积压；数量按基本单位明细查看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资源收益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按币种比较货主收入及资源贡献差值，不直接作为利润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目标预测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所选区间与前一期比较、月底预测算法和样本天数；预测不等于实际或承诺收入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库存风险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FIFO </w:t>
            </w:r>
            <w:r>
              <w:rPr>
                <w:sz w:val="18"/>
              </w:rPr>
              <w:t>成本层价值与库龄分层；缺少成本层或来源不完整时先确认数据质量，不作正式估值</w:t>
            </w:r>
          </w:p>
        </w:tc>
      </w:tr>
      <w:tr>
        <w:trPr/>
        <w:tc>
          <w:tcPr>
            <w:tcW w:w="85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预警闭环</w:t>
            </w:r>
          </w:p>
        </w:tc>
        <w:tc>
          <w:tcPr>
            <w:tcW w:w="9196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查看案件级别、状态、责任人和期限；按页查看，处置由授权管理员或财务完成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有导出权限时，运营履约使用“导出运营明细”，其他支持标签使用“导出当前报表”；预警闭环不提供该报表按钮。页面失败时先重试，不导出或引用旧结果。</w:t>
      </w:r>
    </w:p>
    <w:p>
      <w:pPr>
        <w:pStyle w:val="BodyText"/>
        <w:bidi w:val="0"/>
        <w:jc w:val="start"/>
        <w:rPr/>
      </w:pPr>
      <w:r>
        <w:rPr/>
        <w:t>“</w:t>
      </w:r>
      <w:r>
        <w:rPr/>
        <w:t xml:space="preserve">创建例会快照”按 </w:t>
      </w:r>
      <w:r>
        <w:rPr>
          <w:rStyle w:val="SourceText"/>
        </w:rPr>
        <w:t>can_create_business_review_snapshot</w:t>
      </w:r>
      <w:r>
        <w:rPr/>
        <w:t xml:space="preserve"> </w:t>
      </w:r>
      <w:r>
        <w:rPr/>
        <w:t>能力显示；当前老板默认模板包含创建权限，既有定制组仍需核对实际授权。仅有看板查看权限不等于可以创建快照。核对范围和当前数据后保存快照供会议追溯；它不是业务审批，也不会代办预警处置、收款或库存变更。</w:t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经营例会建议"/>
      <w:bookmarkEnd w:id="15"/>
      <w:r>
        <w:rPr/>
        <w:t>经营例会建议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每日：作业完成率、积压、超期任务、待复核、临期库存和计费失败。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每周：近 </w:t>
      </w:r>
      <w:r>
        <w:rPr/>
        <w:t xml:space="preserve">7 </w:t>
      </w:r>
      <w:r>
        <w:rPr/>
        <w:t xml:space="preserve">天入出库趋势、仓容、高低效区域、货主占仓排行和收入排行。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每月：收费结构、账单状态、逾期应收、资源占用与收入匹配度。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导出报表用于正式会议时记录导出范围、时间和数据截至点，防止不同口径混用。 </w:t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老板日常检查表"/>
      <w:bookmarkEnd w:id="16"/>
      <w:r>
        <w:rPr/>
        <w:t>老板日常检查表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当前查看的是正确仓库、货主和日期范围。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已关注作业积压、待复核和超期任务。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已关注临期、呆滞库存和仓容热点。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收入、计费、账单和逾期应收趋势可解释。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已区分原币金额、计量单位、整单</w:t>
      </w:r>
      <w:r>
        <w:rPr/>
        <w:t>/</w:t>
      </w:r>
      <w:r>
        <w:rPr/>
        <w:t>筛选小计、草稿</w:t>
      </w:r>
      <w:r>
        <w:rPr/>
        <w:t>/</w:t>
      </w:r>
      <w:r>
        <w:rPr/>
        <w:t>已出账及应计</w:t>
      </w:r>
      <w:r>
        <w:rPr/>
        <w:t>/</w:t>
      </w:r>
      <w:r>
        <w:rPr/>
        <w:t xml:space="preserve">实收口径。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高风险预警已有责任人和处理时限。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经营端未执行或要求他人绕过业务流程修改数据。 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常见状态与控制点"/>
      <w:bookmarkEnd w:id="17"/>
      <w:r>
        <w:rPr/>
        <w:t>常见状态与控制点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728"/>
        <w:gridCol w:w="2612"/>
        <w:gridCol w:w="4710"/>
      </w:tblGrid>
      <w:tr>
        <w:trPr>
          <w:tblHeader w:val="true"/>
        </w:trPr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含义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操作要求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草稿 </w:t>
            </w:r>
            <w:r>
              <w:rPr>
                <w:sz w:val="18"/>
              </w:rPr>
              <w:t>/ DRAFT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单据尚未正式提交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原创建人可在权限允许时修改、提交或删除未生效内容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待货主审核 </w:t>
            </w:r>
            <w:r>
              <w:rPr>
                <w:sz w:val="18"/>
              </w:rPr>
              <w:t>/ OWNER_PENDING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业务员已经提交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等待货主管理员通过、退回或取消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货主已通过 </w:t>
            </w:r>
            <w:r>
              <w:rPr>
                <w:sz w:val="18"/>
              </w:rPr>
              <w:t>/ OWNER_APPROVED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商业条件已确认，库存可能已冻结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等待仓库管理员确认并发布任务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待仓库确认 </w:t>
            </w:r>
            <w:r>
              <w:rPr>
                <w:sz w:val="18"/>
              </w:rPr>
              <w:t>/ WHS_PENDING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等待仓库接单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仓库管理员检查仓库、库存和履约条件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仓库已确认 </w:t>
            </w:r>
            <w:r>
              <w:rPr>
                <w:sz w:val="18"/>
              </w:rPr>
              <w:t>/ WHS_APPROVED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已进入仓库履约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不得随意修改原订单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保留 </w:t>
            </w:r>
            <w:r>
              <w:rPr>
                <w:sz w:val="18"/>
              </w:rPr>
              <w:t>/ RESERVED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任务已因货主审核创建但尚未发布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仓库确认前不得现场执行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待发布 </w:t>
            </w:r>
            <w:r>
              <w:rPr>
                <w:sz w:val="18"/>
              </w:rPr>
              <w:t>/ READY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任务具备发布条件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由仓库管理员发布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已发布 </w:t>
            </w:r>
            <w:r>
              <w:rPr>
                <w:sz w:val="18"/>
              </w:rPr>
              <w:t>/ RELEASED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操作员可以领取或执行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按任务逐行扫描作业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执行中 </w:t>
            </w:r>
            <w:r>
              <w:rPr>
                <w:sz w:val="18"/>
              </w:rPr>
              <w:t>/ IN_PROGRESS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已发生现场作业记录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继续完成剩余任务行，不得另建重复任务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已完成 </w:t>
            </w:r>
            <w:r>
              <w:rPr>
                <w:sz w:val="18"/>
              </w:rPr>
              <w:t>/ COMPLETED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作业数量已经完成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等待复核、审核或过账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待审核 </w:t>
            </w:r>
            <w:r>
              <w:rPr>
                <w:sz w:val="18"/>
              </w:rPr>
              <w:t>/ 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需要复核或管理确认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核对实物、数量、批次和库位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已过账 </w:t>
            </w:r>
            <w:r>
              <w:rPr>
                <w:sz w:val="18"/>
              </w:rPr>
              <w:t>/ POSTED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库存影响已正式生效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错误只能通过规范冲销或批准的调整处理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过账失败 </w:t>
            </w:r>
            <w:r>
              <w:rPr>
                <w:sz w:val="18"/>
              </w:rPr>
              <w:t>/ FAILED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库存写入没有成功完成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保留原任务号和错误信息，交管理员处理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已驳回 </w:t>
            </w:r>
            <w:r>
              <w:rPr>
                <w:sz w:val="18"/>
              </w:rPr>
              <w:t>/ REJECTED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审核未通过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查看原因并按流程修改、重提或终止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已取消 </w:t>
            </w:r>
            <w:r>
              <w:rPr>
                <w:sz w:val="18"/>
              </w:rPr>
              <w:t>/ CANCELLED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单据或任务终止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核对冻结库存是否释放、现场实物是否隔离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异常 </w:t>
            </w:r>
            <w:r>
              <w:rPr>
                <w:sz w:val="18"/>
              </w:rPr>
              <w:t>/ EXCEPTION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移库任务处于异常执行状态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操作员说明现场情况，管理员处理原因后决定恢复或作废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退货已冲销 </w:t>
            </w:r>
            <w:r>
              <w:rPr>
                <w:sz w:val="18"/>
              </w:rPr>
              <w:t>/ REVERSED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PDA </w:t>
            </w:r>
            <w:r>
              <w:rPr>
                <w:sz w:val="18"/>
              </w:rPr>
              <w:t>退货整单已恢复原库存维度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原退货记录保留；现场发现破损仍恢复为破损，不再重复补库存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移库和补货需要同时看任务状态、行完成量和过账状态；分次扫描只累计执行数量，库存移动以整任务过账成功为准。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移库异常执行状态与过账失败不是同一件事；“恢复”用于异常任务，“重试过账”用于过账失败，均由有权限的仓库管理员处理。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销售状态和班次状态按《</w:t>
      </w:r>
      <w:r>
        <w:rPr/>
        <w:t xml:space="preserve">POS </w:t>
      </w:r>
      <w:r>
        <w:rPr/>
        <w:t xml:space="preserve">使用手册》核对；现场还款或打印完成情况不能由普通仓库任务状态推断。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同名状态必须结合单据类型解释：</w:t>
      </w:r>
      <w:r>
        <w:rPr/>
        <w:t xml:space="preserve">PDA </w:t>
      </w:r>
      <w:r>
        <w:rPr/>
        <w:t xml:space="preserve">退货 </w:t>
      </w:r>
      <w:r>
        <w:rPr>
          <w:rStyle w:val="SourceText"/>
        </w:rPr>
        <w:t>COMPLETED</w:t>
      </w:r>
      <w:r>
        <w:rPr/>
        <w:t xml:space="preserve"> </w:t>
      </w:r>
      <w:r>
        <w:rPr/>
        <w:t xml:space="preserve">已直接扣库；代办货权转移 </w:t>
      </w:r>
      <w:r>
        <w:rPr>
          <w:rStyle w:val="SourceText"/>
        </w:rPr>
        <w:t>RESERVED</w:t>
      </w:r>
      <w:r>
        <w:rPr/>
        <w:t xml:space="preserve"> </w:t>
      </w:r>
      <w:r>
        <w:rPr/>
        <w:t>是待转货，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是已转货并销售出库。不能套用普通任务的“已完成、待过账”结论。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异常处理与问题上报"/>
      <w:bookmarkEnd w:id="18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无法登录或菜单缺失"/>
      <w:bookmarkEnd w:id="19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 xml:space="preserve">按“网络 → 正式入口 → 用户名和密码 → 账号启用状态 → 职员状态（仅 </w:t>
      </w:r>
      <w:r>
        <w:rPr/>
        <w:t xml:space="preserve">Web </w:t>
      </w:r>
      <w:r>
        <w:rPr/>
        <w:t>后台）→ 角色范围 → 规范角色组 → 功能开关及额外权限”的顺序检查。移库、补货等功能即使有角色权限，也可能尚未启用。登录过于频繁时按页面提示等待，由系统管理员检查账号和审计日志。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数据为空或范围不正确"/>
      <w:bookmarkEnd w:id="20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网络超时或重复提交提示"/>
      <w:bookmarkEnd w:id="21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移库、补货扫描结果未确认时，保留当前页的原库位、商品、容器、序列号和数量再试；提示“已确认此前扫描记录”表示恢复了原结果，不能再次搬货。离开页面后先查原任务再决定下一步。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收货与上架使用不同数量口径：普通商品有订单收货登记当前行累计数量，上架登记本次增量。重试前不要把累计数量当作新增数量再次录入。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还款结果未确认时，回到原收银员、原仓库和原客户核对并恢复该笔还款；不能更换客户或金额当作新收款。具体步骤见《</w:t>
      </w:r>
      <w:r>
        <w:rPr/>
        <w:t xml:space="preserve">POS </w:t>
      </w:r>
      <w:r>
        <w:rPr/>
        <w:t xml:space="preserve">使用手册》。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PDA </w:t>
      </w:r>
      <w:r>
        <w:rPr/>
        <w:t xml:space="preserve">退货出库出现“继续确认结果”时，使用原账号、原仓库恢复原请求；冲销待确认也不能另建退货单抵消。跨货主代办同时按销售单号、转货单号和任务号查原结果。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Android </w:t>
      </w:r>
      <w:r>
        <w:rPr/>
        <w:t xml:space="preserve">拣货、收银或 </w:t>
      </w:r>
      <w:r>
        <w:rPr/>
        <w:t xml:space="preserve">POS </w:t>
      </w:r>
      <w:r>
        <w:rPr/>
        <w:t>退货出现待确认提示时，保留原设备本地数据，使用页面提供的原请求恢复按钮。不要清应用数据、修改原请求或换账号继续办理，具体区别见《</w:t>
      </w:r>
      <w:r>
        <w:rPr/>
        <w:t xml:space="preserve">Android </w:t>
      </w:r>
      <w:r>
        <w:rPr/>
        <w:t>移动端使用手册》和《</w:t>
      </w:r>
      <w:r>
        <w:rPr/>
        <w:t xml:space="preserve">POS </w:t>
      </w:r>
      <w:r>
        <w:rPr/>
        <w:t xml:space="preserve">使用手册》。 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打印失败或打印页过期"/>
      <w:bookmarkEnd w:id="22"/>
      <w:r>
        <w:rPr/>
        <w:t>打印失败或打印页过期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先核对原单是否已成功保存或结账，保留单号。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从原收货任务、出库记录、</w:t>
      </w:r>
      <w:r>
        <w:rPr/>
        <w:t xml:space="preserve">POS </w:t>
      </w:r>
      <w:r>
        <w:rPr/>
        <w:t xml:space="preserve">销售单或班次记录重新点击打印；打印页过期时不要反复使用原链接。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浏览器阻止新窗口时，按设备提示允许本系统打开打印窗口，再从原记录重试。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“</w:t>
      </w:r>
      <w:r>
        <w:rPr/>
        <w:t xml:space="preserve">打印已发起”不代表纸张已输出；核对打印机、纸张和实际份数。结账成功但打印失败时仅补打，不能重新结账。 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移库-补货过账失败"/>
      <w:bookmarkEnd w:id="23"/>
      <w:r>
        <w:rPr/>
        <w:t>移库、补货过账失败</w:t>
      </w:r>
    </w:p>
    <w:p>
      <w:pPr>
        <w:pStyle w:val="BodyText"/>
        <w:bidi w:val="0"/>
        <w:jc w:val="start"/>
        <w:rPr/>
      </w:pPr>
      <w:r>
        <w:rPr/>
        <w:t>扫描数量已保存不代表库存已移动。保留原任务号、来源和目标库位、已搬数量及完整错误信息，交仓库管理员处理原任务；管理员修复原因后按权限重试过账，不能新建任务重复搬货或修改库存数。</w:t>
      </w:r>
    </w:p>
    <w:p>
      <w:pPr>
        <w:pStyle w:val="Heading3"/>
        <w:bidi w:val="0"/>
        <w:ind w:hanging="0" w:start="0" w:end="0"/>
        <w:jc w:val="start"/>
        <w:rPr/>
      </w:pPr>
      <w:bookmarkStart w:id="24" w:name="section-25-库存-任务或账单不一致"/>
      <w:bookmarkEnd w:id="24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5" w:name="section-26-问题上报模板"/>
      <w:bookmarkEnd w:id="25"/>
      <w:r>
        <w:rPr/>
        <w:t>问题上报模板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日常自检与培训验收"/>
      <w:bookmarkEnd w:id="26"/>
      <w:r>
        <w:rPr/>
        <w:t>日常自检与培训验收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能区分已保存、已过账和已打印，知道登录切换后必须重新核对业务范围。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7" w:name="section-28-专项手册与边界"/>
      <w:bookmarkEnd w:id="27"/>
      <w:r>
        <w:rPr/>
        <w:t>专项手册与边界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收银、赊账、客户还款、退货、打印、交班和对账参见《</w:t>
      </w:r>
      <w:r>
        <w:rPr/>
        <w:t xml:space="preserve">POS </w:t>
      </w:r>
      <w:r>
        <w:rPr/>
        <w:t xml:space="preserve">使用手册》；只有取得相应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仓库向货主</w:t>
      </w:r>
      <w:r>
        <w:rPr/>
        <w:t>/</w:t>
      </w:r>
      <w:r>
        <w:rPr/>
        <w:t>原供应商退货参见《</w:t>
      </w:r>
      <w:r>
        <w:rPr/>
        <w:t xml:space="preserve">PDA </w:t>
      </w:r>
      <w:r>
        <w:rPr/>
        <w:t>退货出库使用手册》；</w:t>
      </w:r>
      <w:r>
        <w:rPr/>
        <w:t xml:space="preserve">Android </w:t>
      </w:r>
      <w:r>
        <w:rPr/>
        <w:t>现场操作与原请求恢复参见《</w:t>
      </w:r>
      <w:r>
        <w:rPr/>
        <w:t xml:space="preserve">Android </w:t>
      </w:r>
      <w:r>
        <w:rPr/>
        <w:t xml:space="preserve">移动端使用手册》。功能以各客户端已注册页面和实际权限为准。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面向终端客户的商城参见《商城小程序使用教程》；商城买家不是本手册六类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8" w:name="section-29-文档修订记录"/>
      <w:bookmarkEnd w:id="28"/>
      <w:r>
        <w:rPr/>
        <w:t>文档修订记录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45"/>
        <w:gridCol w:w="884"/>
        <w:gridCol w:w="8621"/>
      </w:tblGrid>
      <w:tr>
        <w:trPr>
          <w:tblHeader w:val="true"/>
        </w:trPr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版本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日期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说明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V2.2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2026-10-17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补齐共享客户、代办转货、</w:t>
            </w:r>
            <w:r>
              <w:rPr>
                <w:sz w:val="18"/>
              </w:rPr>
              <w:t xml:space="preserve">PDA </w:t>
            </w:r>
            <w:r>
              <w:rPr>
                <w:sz w:val="18"/>
              </w:rPr>
              <w:t xml:space="preserve">退货出库、商品导入自动收货与导出；区分 </w:t>
            </w:r>
            <w:r>
              <w:rPr>
                <w:sz w:val="18"/>
              </w:rPr>
              <w:t xml:space="preserve">Android/PDA </w:t>
            </w:r>
            <w:r>
              <w:rPr>
                <w:sz w:val="18"/>
              </w:rPr>
              <w:t>收银库存和恢复能力，更新老板筛选及计费口径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V2.1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2026-09-07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按当前工作区（含未提交改动）更新收货上架、移库补货、商品建档、登录恢复、打印和财务核对；功能启用及设备使用以实际部署为准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V2.0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2026-08-04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2240" w:h="15840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金桥融通WMS仓库老板经营看板手册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