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838200" cy="8382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货主业务员操作手册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V2.2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2026-10-17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主要读者：货主业务员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pageBreakBefore w:val="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登录失效与切换账号">
        <w:r>
          <w:rPr>
            <w:rStyle w:val="Hyperlink"/>
          </w:rPr>
          <w:t>登录失效与切换账号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首页和开单准备">
        <w:r>
          <w:rPr>
            <w:rStyle w:val="Hyperlink"/>
          </w:rPr>
          <w:t>首页和开单准备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创建-保存和提交订单">
        <w:r>
          <w:rPr>
            <w:rStyle w:val="Hyperlink"/>
          </w:rPr>
          <w:t>创建、保存和提交订单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防重复提交和冲突处理">
        <w:r>
          <w:rPr>
            <w:rStyle w:val="Hyperlink"/>
          </w:rPr>
          <w:t>防重复提交和冲突处理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撤回-退回修改和重新提交">
        <w:r>
          <w:rPr>
            <w:rStyle w:val="Hyperlink"/>
          </w:rPr>
          <w:t>撤回、退回修改和重新提交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一件代发-Excel-导入">
        <w:r>
          <w:rPr>
            <w:rStyle w:val="Hyperlink"/>
          </w:rPr>
          <w:t xml:space="preserve">一件代发 </w:t>
        </w:r>
        <w:r>
          <w:rPr>
            <w:rStyle w:val="Hyperlink"/>
          </w:rPr>
          <w:t xml:space="preserve">Excel </w:t>
        </w:r>
        <w:r>
          <w:rPr>
            <w:rStyle w:val="Hyperlink"/>
          </w:rPr>
          <w:t>导入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库存-订单和报表查询">
        <w:r>
          <w:rPr>
            <w:rStyle w:val="Hyperlink"/>
          </w:rPr>
          <w:t>库存、订单和报表查询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业务员日结检查表">
        <w:r>
          <w:rPr>
            <w:rStyle w:val="Hyperlink"/>
          </w:rPr>
          <w:t>业务员日结检查表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打印失败或打印页过期">
        <w:r>
          <w:rPr>
            <w:rStyle w:val="Hyperlink"/>
          </w:rPr>
          <w:t>打印失败或打印页过期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移库-补货过账失败">
        <w:r>
          <w:rPr>
            <w:rStyle w:val="Hyperlink"/>
          </w:rPr>
          <w:t>移库、补货过账失败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4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5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6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7-文档修订记录">
        <w:r>
          <w:rPr>
            <w:rStyle w:val="Hyperlink"/>
          </w:rPr>
          <w:t>文档修订记录</w:t>
        </w:r>
      </w:hyperlink>
    </w:p>
    <w:p>
      <w:pPr>
        <w:pStyle w:val="BodyText"/>
        <w:pageBreakBefore w:val="1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V2.2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2026-10-17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货主业务端（</w:t>
      </w:r>
      <w:r>
        <w:rPr/>
        <w:t>wmsownersale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1832"/>
        <w:gridCol w:w="8217"/>
      </w:tblGrid>
      <w:tr>
        <w:trPr>
          <w:tblHeader w:val="true"/>
        </w:trPr>
        <w:tc>
          <w:tcPr>
            <w:tcW w:w="18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项目</w:t>
            </w:r>
          </w:p>
        </w:tc>
        <w:tc>
          <w:tcPr>
            <w:tcW w:w="82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本角色要求</w:t>
            </w:r>
          </w:p>
        </w:tc>
      </w:tr>
      <w:tr>
        <w:trPr/>
        <w:tc>
          <w:tcPr>
            <w:tcW w:w="18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角色</w:t>
            </w:r>
          </w:p>
        </w:tc>
        <w:tc>
          <w:tcPr>
            <w:tcW w:w="82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货主业务员</w:t>
            </w:r>
          </w:p>
        </w:tc>
      </w:tr>
      <w:tr>
        <w:trPr/>
        <w:tc>
          <w:tcPr>
            <w:tcW w:w="18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正式权限组</w:t>
            </w:r>
          </w:p>
        </w:tc>
        <w:tc>
          <w:tcPr>
            <w:tcW w:w="82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ourceText"/>
                <w:sz w:val="18"/>
              </w:rPr>
              <w:t>WMS::</w:t>
            </w:r>
            <w:r>
              <w:rPr>
                <w:rStyle w:val="SourceText"/>
                <w:sz w:val="18"/>
              </w:rPr>
              <w:t>货主业务员</w:t>
            </w:r>
          </w:p>
        </w:tc>
      </w:tr>
      <w:tr>
        <w:trPr/>
        <w:tc>
          <w:tcPr>
            <w:tcW w:w="18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主要入口</w:t>
            </w:r>
          </w:p>
        </w:tc>
        <w:tc>
          <w:tcPr>
            <w:tcW w:w="82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>货主业务端（</w:t>
            </w:r>
            <w:r>
              <w:rPr>
                <w:sz w:val="18"/>
              </w:rPr>
              <w:t>wmsownersale</w:t>
            </w:r>
            <w:r>
              <w:rPr>
                <w:sz w:val="18"/>
              </w:rPr>
              <w:t>）</w:t>
            </w:r>
          </w:p>
        </w:tc>
      </w:tr>
      <w:tr>
        <w:trPr/>
        <w:tc>
          <w:tcPr>
            <w:tcW w:w="183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数据范围</w:t>
            </w:r>
          </w:p>
        </w:tc>
        <w:tc>
          <w:tcPr>
            <w:tcW w:w="8217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一个明确的货主范围，并从货主已授权仓库中选择履约仓库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登录失效与切换账号"/>
      <w:bookmarkEnd w:id="3"/>
      <w:r>
        <w:rPr/>
        <w:t>登录失效与切换账号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使用管理员提供的正式入口；客户端的服务地址由部署配置决定，不在登录页自行改接其他服务器。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使用过程中客户端会尝试续期登录。临时断网或服务器繁忙时先检查网络，恢复后重新查询当前单据；不能把网络故障当成业务未提交。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明确提示登录失效并返回登录页时，重新登录本人账号，再核对角色、仓库或货主范围。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看到“登录账号已变化”或“登录状态已变化”时停止当前操作，刷新页面并重新选择业务对象。旧账号的页面结果不能作为新账号继续操作的依据。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连续登录过频时按提示等待，不连续点击；仍不能登录则联系管理员检查账号。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账号和数据范围"/>
      <w:bookmarkEnd w:id="4"/>
      <w:r>
        <w:rPr/>
        <w:t>账号和数据范围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通用操作原则"/>
      <w:bookmarkEnd w:id="5"/>
      <w:r>
        <w:rPr/>
        <w:t>通用操作原则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6" w:name="section-7-修改密码与退出"/>
      <w:bookmarkEnd w:id="6"/>
      <w:r>
        <w:rPr/>
        <w:t>修改密码与退出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切换账号前先记录尚未确认的单号、任务号及收付款结果；下一位人员使用自己的账号重新打开业务页面，不接着提交上一账号遗留的内容。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角色职责与权限"/>
      <w:bookmarkEnd w:id="7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货主业务员负责本货主的客户订单录入、选品、草稿维护、订单提交、一件代发导入和业务查询。规范角色组为 </w:t>
      </w:r>
      <w:r>
        <w:rPr>
          <w:rStyle w:val="SourceText"/>
        </w:rPr>
        <w:t>WMS::</w:t>
      </w:r>
      <w:r>
        <w:rPr>
          <w:rStyle w:val="SourceText"/>
        </w:rPr>
        <w:t>货主业务员</w:t>
      </w:r>
      <w:r>
        <w:rPr/>
        <w:t>，必须配置一个活动货主范围。</w:t>
      </w:r>
    </w:p>
    <w:p>
      <w:pPr>
        <w:pStyle w:val="BodyText"/>
        <w:bidi w:val="0"/>
        <w:jc w:val="start"/>
        <w:rPr/>
      </w:pPr>
      <w:r>
        <w:rPr/>
        <w:t>订单的履约仓库不是用户角色范围。业务员只能从当前货主已经启用的仓库授权关系中明确选择仓库；系统不会因为旧用户字段中存在仓库值就自动扩大权限。</w:t>
      </w:r>
    </w:p>
    <w:p>
      <w:pPr>
        <w:pStyle w:val="BodyText"/>
        <w:bidi w:val="0"/>
        <w:jc w:val="start"/>
        <w:rPr/>
      </w:pPr>
      <w:r>
        <w:rPr/>
        <w:t>货主业务员不能执行货主管理员审核、仓库确认、任务过账或查看其他货主数据。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首页和开单准备"/>
      <w:bookmarkEnd w:id="8"/>
      <w:r>
        <w:rPr/>
        <w:t>首页和开单准备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登录货主业务端，在“功能”页确认能够看到访销下单、访销订单、一件代发导入、实时库存和报表。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进入开单后先选择出库仓库。没有可用仓库时联系系统管理员维护货主—仓库授权关系。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选择客户后再选品；更换仓库或客户时重新检查购物车上下文。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搜索商品名称、货主商品编码、仓库</w:t>
      </w:r>
      <w:r>
        <w:rPr/>
        <w:t>SKU</w:t>
      </w:r>
      <w:r>
        <w:rPr/>
        <w:t xml:space="preserve">编码或条码，核对包装单位、基本数量、价格和所选仓库可用库存。 </w:t>
      </w:r>
    </w:p>
    <w:p>
      <w:pPr>
        <w:pStyle w:val="BodyText"/>
        <w:bidi w:val="0"/>
        <w:jc w:val="start"/>
        <w:rPr/>
      </w:pPr>
      <w:r>
        <w:rPr/>
        <w:t>同一终端客户可以关联多个货主，但客户编号、负责业务员和配送资料按当前货主分别维护。只能选择与当前货主有效关联且符合本人业务范围的客户；相同客户名称或联系方式不能作为跨货主开单依据。查不到客户时交管理员检查关联和业务员配置，不新建重复档案绕过限制。</w:t>
      </w:r>
      <w:r>
        <w:rPr>
          <w:rStyle w:val="SourceText"/>
        </w:rPr>
        <w:t>CASH</w:t>
      </w:r>
      <w:r>
        <w:rPr/>
        <w:t xml:space="preserve"> </w:t>
      </w:r>
      <w:r>
        <w:rPr/>
        <w:t>也按当前货主的客户关联编号识别。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创建-保存和提交订单"/>
      <w:bookmarkEnd w:id="9"/>
      <w:r>
        <w:rPr/>
        <w:t>创建、保存和提交订单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选择已授权仓库和正确客户。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添加商品，录入订购数量和成交价；包装单位会换算为基本数量。订购数量和换算系数必须大于零，换算后的基本数量不能小于 </w:t>
      </w:r>
      <w:r>
        <w:rPr>
          <w:rStyle w:val="SourceText"/>
        </w:rPr>
        <w:t>0.001</w:t>
      </w:r>
      <w:r>
        <w:rPr/>
        <w:t xml:space="preserve">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系统以服务端商品规则校验价格。成交价不能为零或负数，不能低于最低价或最高折扣形成的价格下限。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核对每行可用库存。页面提示库存不足时不得通过拆分重复订单绕过校验。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填写平台单号、收件人、联系电话、完整地址和备注。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客户编码为 </w:t>
      </w:r>
      <w:r>
        <w:rPr>
          <w:rStyle w:val="SourceText"/>
        </w:rPr>
        <w:t>CASH</w:t>
      </w:r>
      <w:r>
        <w:rPr/>
        <w:t xml:space="preserve"> </w:t>
      </w:r>
      <w:r>
        <w:rPr/>
        <w:t xml:space="preserve">时，收件人、有效联系电话和完整地址全部必填；不能根据客户名称中的文字判断是否需要填写。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需要稍后继续时点击“保存草稿”；准备完成后点击“提交订单”。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提交成功后记录订单号，并在“访销订单”确认进入待货主管理员审核。 </w:t>
      </w:r>
    </w:p>
    <w:p>
      <w:pPr>
        <w:pStyle w:val="BodyText"/>
        <w:bidi w:val="0"/>
        <w:jc w:val="start"/>
        <w:rPr/>
      </w:pPr>
      <w:r>
        <w:rPr/>
        <w:t>服务端会再次校验货主、授权仓库、客户、商品、包装换算、价格和库存。前端展示值不能覆盖服务端规则。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防重复提交和冲突处理"/>
      <w:bookmarkEnd w:id="10"/>
      <w:r>
        <w:rPr/>
        <w:t>防重复提交和冲突处理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每次新建或重新提交使用客户端生成的幂等标识；网络超时后先查订单，再使用原内容重试。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同一幂等标识对应的内容发生变化时，系统会返回提交冲突；返回购物车重新确认，不要强行重复请求。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登录失效或切换账号后，先重新打开原订单确认结果，再重新选择当前账号的仓库和客户。上一账号尚未返回的请求不能作为本账号的下单结果。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平台单号在规定业务范围内必须唯一。提示平台单号重复时查询原订单，不得改一个空格继续提交。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整单任意一行价格、库存或数据范围不合法时，系统会拒绝整单，不会只保存合法行。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撤回-退回修改和重新提交"/>
      <w:bookmarkEnd w:id="11"/>
      <w:r>
        <w:rPr/>
        <w:t>撤回、退回修改和重新提交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已提交但尚允许撤回的本人订单，可执行撤回；系统会校验任务是否已经开始并释放已冻结库存。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货主管理员退回订单时，订单回到可编辑草稿并保存最近退回原因。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在订单详情点击编辑，系统只允许原创建人加载当前货主、授权仓库内的可编辑草稿。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按退回原因修改客户、仓库、商品、数量、价格或收件信息。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可以先保存草稿，也可以点击“保存并重新提交”。重新提交后确认再次进入待审核。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不要为同一业务需求另建新单，以免平台单号、库存分配和后续审核重复。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一件代发-Excel-导入"/>
      <w:bookmarkEnd w:id="12"/>
      <w:r>
        <w:rPr/>
        <w:t xml:space="preserve">一件代发 </w:t>
      </w:r>
      <w:r>
        <w:rPr/>
        <w:t xml:space="preserve">Excel </w:t>
      </w:r>
      <w:r>
        <w:rPr/>
        <w:t>导入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下载最新一件代发模板，不得修改列名和列顺序。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进入“一件代发批量导入”，先选择当前货主已授权的出库仓库。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每行填写订单编号、收件人姓名、收件人手机</w:t>
      </w:r>
      <w:r>
        <w:rPr/>
        <w:t>/</w:t>
      </w:r>
      <w:r>
        <w:rPr/>
        <w:t xml:space="preserve">电话、详细地址和大于零的数量；订单编号是必填防重依据。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商家编码”必须填写货主商品编码或当前有效的外部系统商品编码，不接受仓库</w:t>
      </w:r>
      <w:r>
        <w:rPr/>
        <w:t>SKU</w:t>
      </w:r>
      <w:r>
        <w:rPr/>
        <w:t xml:space="preserve">编码或条码；未填编码时商品名称必须在本货主内唯一。填写了错误编码时不会回退商品名称。导入价格采用系统当前商品默认价格并继续执行服务端价格规则。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只选择 </w:t>
      </w:r>
      <w:r>
        <w:rPr>
          <w:rStyle w:val="SourceText"/>
        </w:rPr>
        <w:t>.xlsx</w:t>
      </w:r>
      <w:r>
        <w:rPr/>
        <w:t xml:space="preserve"> </w:t>
      </w:r>
      <w:r>
        <w:rPr/>
        <w:t xml:space="preserve">文件且不超过 </w:t>
      </w:r>
      <w:r>
        <w:rPr/>
        <w:t>5 MB</w:t>
      </w:r>
      <w:r>
        <w:rPr/>
        <w:t xml:space="preserve">；旧 </w:t>
      </w:r>
      <w:r>
        <w:rPr>
          <w:rStyle w:val="SourceText"/>
        </w:rPr>
        <w:t>.xls</w:t>
      </w:r>
      <w:r>
        <w:rPr/>
        <w:t xml:space="preserve">、空文件、损坏文件、业务公式、超过 </w:t>
      </w:r>
      <w:r>
        <w:rPr/>
        <w:t xml:space="preserve">1000 </w:t>
      </w:r>
      <w:r>
        <w:rPr/>
        <w:t xml:space="preserve">个非空业务行或缺少必要表头的文件会被拒绝。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上传后等待系统返回成功、跳过和失败三类结果。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成功行已经建单；跳过行表示相同订单编号已存在，应先查询原订单；失败行按行号和具体原因修正。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导入逐行保存并允许部分成功。再次导入时只保留需要修正的失败行，避免重复成功行。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到订单列表抽查仓库、客户、商品、数量、地址和审核状态。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库存-订单和报表查询"/>
      <w:bookmarkEnd w:id="13"/>
      <w:r>
        <w:rPr/>
        <w:t>库存、订单和报表查询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访销订单”按状态、订单号或客户查询，订单详情显示提交状态、审核状态和最近退回原因。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实时库存”只显示本货主数据；开单判断使用所选仓库的可用数量，而不是全部在库数量。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入出库履约”可以切换“实际”和“计划”口径：实际入库按 </w:t>
      </w:r>
      <w:r>
        <w:rPr/>
        <w:t xml:space="preserve">RECEIVE </w:t>
      </w:r>
      <w:r>
        <w:rPr/>
        <w:t xml:space="preserve">库存过账，实际出库按已完成 </w:t>
      </w:r>
      <w:r>
        <w:rPr/>
        <w:t xml:space="preserve">DISPATCH </w:t>
      </w:r>
      <w:r>
        <w:rPr/>
        <w:t xml:space="preserve">发运；计划口径按订单业务日期和需求数量统计。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销售报表”和“入出库履约”按当前货主范围展示；可按日期翻页查看明细，导出权限以服务端能力为准。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商品搜索使用当前有效标识；新旧条码并存时先核对命中的商品和包装换算，退役条码应由管理员维护，不能临时改编码下单。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计费账单、移库审批、补货执行和 </w:t>
      </w:r>
      <w:r>
        <w:rPr/>
        <w:t xml:space="preserve">POS </w:t>
      </w:r>
      <w:r>
        <w:rPr/>
        <w:t xml:space="preserve">收款不是本岗位默认流程。库存不足时向货主管理员或仓库反馈订单和商品，不直接创建仓库移动任务代替业务交接。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发现订单已提交但列表没有、库存数与仓库反馈不一致或看到其他货主数据时立即停止并上报。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业务员日结检查表"/>
      <w:bookmarkEnd w:id="14"/>
      <w:r>
        <w:rPr/>
        <w:t>业务员日结检查表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当日草稿均有明确后续处理人。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已提交订单均进入待审核，没有重复订单或重复平台单号。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被退回订单已经按原因修正或登记不再处理。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一件代发导入的成功、跳过和失败行已经逐类核对。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CASH </w:t>
      </w:r>
      <w:r>
        <w:rPr/>
        <w:t xml:space="preserve">客户订单收件信息完整。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库存不足、价格规则或仓库授权问题已经反馈。 </w:t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常见状态与控制点"/>
      <w:bookmarkEnd w:id="15"/>
      <w:r>
        <w:rPr/>
        <w:t>常见状态与控制点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2728"/>
        <w:gridCol w:w="2612"/>
        <w:gridCol w:w="4710"/>
      </w:tblGrid>
      <w:tr>
        <w:trPr>
          <w:tblHeader w:val="true"/>
        </w:trPr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状态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含义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操作要求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草稿 </w:t>
            </w:r>
            <w:r>
              <w:rPr>
                <w:sz w:val="18"/>
              </w:rPr>
              <w:t>/ DRAFT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单据尚未正式提交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原创建人可在权限允许时修改、提交或删除未生效内容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待货主审核 </w:t>
            </w:r>
            <w:r>
              <w:rPr>
                <w:sz w:val="18"/>
              </w:rPr>
              <w:t>/ OWNER_PENDING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业务员已经提交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等待货主管理员通过、退回或取消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货主已通过 </w:t>
            </w:r>
            <w:r>
              <w:rPr>
                <w:sz w:val="18"/>
              </w:rPr>
              <w:t>/ OWNER_APPROVED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商业条件已确认，库存可能已冻结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等待仓库管理员确认并发布任务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待仓库确认 </w:t>
            </w:r>
            <w:r>
              <w:rPr>
                <w:sz w:val="18"/>
              </w:rPr>
              <w:t>/ WHS_PENDING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等待仓库接单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仓库管理员检查仓库、库存和履约条件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仓库已确认 </w:t>
            </w:r>
            <w:r>
              <w:rPr>
                <w:sz w:val="18"/>
              </w:rPr>
              <w:t>/ WHS_APPROVED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已进入仓库履约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不得随意修改原订单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保留 </w:t>
            </w:r>
            <w:r>
              <w:rPr>
                <w:sz w:val="18"/>
              </w:rPr>
              <w:t>/ RESERVED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任务已因货主审核创建但尚未发布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仓库确认前不得现场执行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待发布 </w:t>
            </w:r>
            <w:r>
              <w:rPr>
                <w:sz w:val="18"/>
              </w:rPr>
              <w:t>/ READY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任务具备发布条件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由仓库管理员发布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已发布 </w:t>
            </w:r>
            <w:r>
              <w:rPr>
                <w:sz w:val="18"/>
              </w:rPr>
              <w:t>/ RELEASED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操作员可以领取或执行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按任务逐行扫描作业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执行中 </w:t>
            </w:r>
            <w:r>
              <w:rPr>
                <w:sz w:val="18"/>
              </w:rPr>
              <w:t>/ IN_PROGRESS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已发生现场作业记录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继续完成剩余任务行，不得另建重复任务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已完成 </w:t>
            </w:r>
            <w:r>
              <w:rPr>
                <w:sz w:val="18"/>
              </w:rPr>
              <w:t>/ COMPLETED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作业数量已经完成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等待复核、审核或过账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待审核 </w:t>
            </w:r>
            <w:r>
              <w:rPr>
                <w:sz w:val="18"/>
              </w:rPr>
              <w:t>/ PENDING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需要复核或管理确认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核对实物、数量、批次和库位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已过账 </w:t>
            </w:r>
            <w:r>
              <w:rPr>
                <w:sz w:val="18"/>
              </w:rPr>
              <w:t>/ POSTED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库存影响已正式生效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错误只能通过规范冲销或批准的调整处理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过账失败 </w:t>
            </w:r>
            <w:r>
              <w:rPr>
                <w:sz w:val="18"/>
              </w:rPr>
              <w:t>/ FAILED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库存写入没有成功完成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保留原任务号和错误信息，交管理员处理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已驳回 </w:t>
            </w:r>
            <w:r>
              <w:rPr>
                <w:sz w:val="18"/>
              </w:rPr>
              <w:t>/ REJECTED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审核未通过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查看原因并按流程修改、重提或终止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已取消 </w:t>
            </w:r>
            <w:r>
              <w:rPr>
                <w:sz w:val="18"/>
              </w:rPr>
              <w:t>/ CANCELLED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单据或任务终止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核对冻结库存是否释放、现场实物是否隔离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异常 </w:t>
            </w:r>
            <w:r>
              <w:rPr>
                <w:sz w:val="18"/>
              </w:rPr>
              <w:t>/ EXCEPTION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移库任务处于异常执行状态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操作员说明现场情况，管理员处理原因后决定恢复或作废</w:t>
            </w:r>
          </w:p>
        </w:tc>
      </w:tr>
      <w:tr>
        <w:trPr/>
        <w:tc>
          <w:tcPr>
            <w:tcW w:w="2728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退货已冲销 </w:t>
            </w:r>
            <w:r>
              <w:rPr>
                <w:sz w:val="18"/>
              </w:rPr>
              <w:t>/ REVERSED</w:t>
            </w:r>
          </w:p>
        </w:tc>
        <w:tc>
          <w:tcPr>
            <w:tcW w:w="2612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 xml:space="preserve">PDA </w:t>
            </w:r>
            <w:r>
              <w:rPr>
                <w:sz w:val="18"/>
              </w:rPr>
              <w:t>退货整单已恢复原库存维度</w:t>
            </w:r>
          </w:p>
        </w:tc>
        <w:tc>
          <w:tcPr>
            <w:tcW w:w="4710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原退货记录保留；现场发现破损仍恢复为破损，不再重复补库存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移库和补货需要同时看任务状态、行完成量和过账状态；分次扫描只累计执行数量，库存移动以整任务过账成功为准。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移库异常执行状态与过账失败不是同一件事；“恢复”用于异常任务，“重试过账”用于过账失败，均由有权限的仓库管理员处理。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销售状态和班次状态按《</w:t>
      </w:r>
      <w:r>
        <w:rPr/>
        <w:t xml:space="preserve">POS </w:t>
      </w:r>
      <w:r>
        <w:rPr/>
        <w:t xml:space="preserve">使用手册》核对；现场还款或打印完成情况不能由普通仓库任务状态推断。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同名状态必须结合单据类型解释：</w:t>
      </w:r>
      <w:r>
        <w:rPr/>
        <w:t xml:space="preserve">PDA </w:t>
      </w:r>
      <w:r>
        <w:rPr/>
        <w:t xml:space="preserve">退货 </w:t>
      </w:r>
      <w:r>
        <w:rPr>
          <w:rStyle w:val="SourceText"/>
        </w:rPr>
        <w:t>COMPLETED</w:t>
      </w:r>
      <w:r>
        <w:rPr/>
        <w:t xml:space="preserve"> </w:t>
      </w:r>
      <w:r>
        <w:rPr/>
        <w:t xml:space="preserve">已直接扣库；代办货权转移 </w:t>
      </w:r>
      <w:r>
        <w:rPr>
          <w:rStyle w:val="SourceText"/>
        </w:rPr>
        <w:t>RESERVED</w:t>
      </w:r>
      <w:r>
        <w:rPr/>
        <w:t xml:space="preserve"> </w:t>
      </w:r>
      <w:r>
        <w:rPr/>
        <w:t>是待转货，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是已转货并销售出库。不能套用普通任务的“已完成、待过账”结论。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6" w:name="section-17-异常处理与问题上报"/>
      <w:bookmarkEnd w:id="16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无法登录或菜单缺失"/>
      <w:bookmarkEnd w:id="17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 xml:space="preserve">按“网络 → 正式入口 → 用户名和密码 → 账号启用状态 → 职员状态（仅 </w:t>
      </w:r>
      <w:r>
        <w:rPr/>
        <w:t xml:space="preserve">Web </w:t>
      </w:r>
      <w:r>
        <w:rPr/>
        <w:t>后台）→ 角色范围 → 规范角色组 → 功能开关及额外权限”的顺序检查。移库、补货等功能即使有角色权限，也可能尚未启用。登录过于频繁时按页面提示等待，由系统管理员检查账号和审计日志。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数据为空或范围不正确"/>
      <w:bookmarkEnd w:id="18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网络超时或重复提交提示"/>
      <w:bookmarkEnd w:id="19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移库、补货扫描结果未确认时，保留当前页的原库位、商品、容器、序列号和数量再试；提示“已确认此前扫描记录”表示恢复了原结果，不能再次搬货。离开页面后先查原任务再决定下一步。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收货与上架使用不同数量口径：普通商品有订单收货登记当前行累计数量，上架登记本次增量。重试前不要把累计数量当作新增数量再次录入。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还款结果未确认时，回到原收银员、原仓库和原客户核对并恢复该笔还款；不能更换客户或金额当作新收款。具体步骤见《</w:t>
      </w:r>
      <w:r>
        <w:rPr/>
        <w:t xml:space="preserve">POS </w:t>
      </w:r>
      <w:r>
        <w:rPr/>
        <w:t xml:space="preserve">使用手册》。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PDA </w:t>
      </w:r>
      <w:r>
        <w:rPr/>
        <w:t xml:space="preserve">退货出库出现“继续确认结果”时，使用原账号、原仓库恢复原请求；冲销待确认也不能另建退货单抵消。跨货主代办同时按销售单号、转货单号和任务号查原结果。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Android </w:t>
      </w:r>
      <w:r>
        <w:rPr/>
        <w:t xml:space="preserve">拣货、收银或 </w:t>
      </w:r>
      <w:r>
        <w:rPr/>
        <w:t xml:space="preserve">POS </w:t>
      </w:r>
      <w:r>
        <w:rPr/>
        <w:t>退货出现待确认提示时，保留原设备本地数据，使用页面提供的原请求恢复按钮。不要清应用数据、修改原请求或换账号继续办理，具体区别见《</w:t>
      </w:r>
      <w:r>
        <w:rPr/>
        <w:t xml:space="preserve">Android </w:t>
      </w:r>
      <w:r>
        <w:rPr/>
        <w:t>移动端使用手册》和《</w:t>
      </w:r>
      <w:r>
        <w:rPr/>
        <w:t xml:space="preserve">POS </w:t>
      </w:r>
      <w:r>
        <w:rPr/>
        <w:t xml:space="preserve">使用手册》。 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打印失败或打印页过期"/>
      <w:bookmarkEnd w:id="20"/>
      <w:r>
        <w:rPr/>
        <w:t>打印失败或打印页过期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先核对原单是否已成功保存或结账，保留单号。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从原收货任务、出库记录、</w:t>
      </w:r>
      <w:r>
        <w:rPr/>
        <w:t xml:space="preserve">POS </w:t>
      </w:r>
      <w:r>
        <w:rPr/>
        <w:t xml:space="preserve">销售单或班次记录重新点击打印；打印页过期时不要反复使用原链接。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浏览器阻止新窗口时，按设备提示允许本系统打开打印窗口，再从原记录重试。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“</w:t>
      </w:r>
      <w:r>
        <w:rPr/>
        <w:t xml:space="preserve">打印已发起”不代表纸张已输出；核对打印机、纸张和实际份数。结账成功但打印失败时仅补打，不能重新结账。 </w:t>
      </w:r>
    </w:p>
    <w:p>
      <w:pPr>
        <w:pStyle w:val="Heading3"/>
        <w:bidi w:val="0"/>
        <w:ind w:hanging="0" w:start="0" w:end="0"/>
        <w:jc w:val="start"/>
        <w:rPr/>
      </w:pPr>
      <w:bookmarkStart w:id="21" w:name="section-22-移库-补货过账失败"/>
      <w:bookmarkEnd w:id="21"/>
      <w:r>
        <w:rPr/>
        <w:t>移库、补货过账失败</w:t>
      </w:r>
    </w:p>
    <w:p>
      <w:pPr>
        <w:pStyle w:val="BodyText"/>
        <w:bidi w:val="0"/>
        <w:jc w:val="start"/>
        <w:rPr/>
      </w:pPr>
      <w:r>
        <w:rPr/>
        <w:t>扫描数量已保存不代表库存已移动。保留原任务号、来源和目标库位、已搬数量及完整错误信息，交仓库管理员处理原任务；管理员修复原因后按权限重试过账，不能新建任务重复搬货或修改库存数。</w:t>
      </w:r>
    </w:p>
    <w:p>
      <w:pPr>
        <w:pStyle w:val="Heading3"/>
        <w:bidi w:val="0"/>
        <w:ind w:hanging="0" w:start="0" w:end="0"/>
        <w:jc w:val="start"/>
        <w:rPr/>
      </w:pPr>
      <w:bookmarkStart w:id="22" w:name="section-23-库存-任务或账单不一致"/>
      <w:bookmarkEnd w:id="22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3" w:name="section-24-问题上报模板"/>
      <w:bookmarkEnd w:id="23"/>
      <w:r>
        <w:rPr/>
        <w:t>问题上报模板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4" w:name="section-25-日常自检与培训验收"/>
      <w:bookmarkEnd w:id="24"/>
      <w:r>
        <w:rPr/>
        <w:t>日常自检与培训验收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能区分已保存、已过账和已打印，知道登录切换后必须重新核对业务范围。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5" w:name="section-26-专项手册与边界"/>
      <w:bookmarkEnd w:id="25"/>
      <w:r>
        <w:rPr/>
        <w:t>专项手册与边界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>收银、赊账、客户还款、退货、打印、交班和对账参见《</w:t>
      </w:r>
      <w:r>
        <w:rPr/>
        <w:t xml:space="preserve">POS </w:t>
      </w:r>
      <w:r>
        <w:rPr/>
        <w:t xml:space="preserve">使用手册》；只有取得相应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仓库向货主</w:t>
      </w:r>
      <w:r>
        <w:rPr/>
        <w:t>/</w:t>
      </w:r>
      <w:r>
        <w:rPr/>
        <w:t>原供应商退货参见《</w:t>
      </w:r>
      <w:r>
        <w:rPr/>
        <w:t xml:space="preserve">PDA </w:t>
      </w:r>
      <w:r>
        <w:rPr/>
        <w:t>退货出库使用手册》；</w:t>
      </w:r>
      <w:r>
        <w:rPr/>
        <w:t xml:space="preserve">Android </w:t>
      </w:r>
      <w:r>
        <w:rPr/>
        <w:t>现场操作与原请求恢复参见《</w:t>
      </w:r>
      <w:r>
        <w:rPr/>
        <w:t xml:space="preserve">Android </w:t>
      </w:r>
      <w:r>
        <w:rPr/>
        <w:t xml:space="preserve">移动端使用手册》。功能以各客户端已注册页面和实际权限为准。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面向终端客户的商城参见《商城小程序使用教程》；商城买家不是本手册六类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6" w:name="section-27-文档修订记录"/>
      <w:bookmarkEnd w:id="26"/>
      <w:r>
        <w:rPr/>
        <w:t>文档修订记录</w:t>
      </w:r>
    </w:p>
    <w:tbl>
      <w:tblPr>
        <w:tblW w:w="1005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</w:tblPr>
      <w:tblGrid>
        <w:gridCol w:w="545"/>
        <w:gridCol w:w="884"/>
        <w:gridCol w:w="8621"/>
      </w:tblGrid>
      <w:tr>
        <w:trPr>
          <w:tblHeader w:val="true"/>
        </w:trPr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版本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日期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  <w:shd w:fill="EAF1FD" w:val="clear"/>
          </w:tcPr>
          <w:p>
            <w:pPr>
              <w:pStyle w:val="TableHeading"/>
              <w:bidi w:val="0"/>
              <w:spacing w:before="0" w:after="283"/>
              <w:ind w:hanging="0" w:start="0" w:end="0"/>
              <w:rPr>
                <w:sz w:val="18"/>
              </w:rPr>
            </w:pPr>
            <w:r>
              <w:rPr>
                <w:sz w:val="18"/>
              </w:rPr>
              <w:t>说明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V2.2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2026-10-17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sz w:val="18"/>
              </w:rPr>
              <w:t>补齐共享客户、代办转货、</w:t>
            </w:r>
            <w:r>
              <w:rPr>
                <w:sz w:val="18"/>
              </w:rPr>
              <w:t xml:space="preserve">PDA </w:t>
            </w:r>
            <w:r>
              <w:rPr>
                <w:sz w:val="18"/>
              </w:rPr>
              <w:t xml:space="preserve">退货出库、商品导入自动收货与导出；区分 </w:t>
            </w:r>
            <w:r>
              <w:rPr>
                <w:sz w:val="18"/>
              </w:rPr>
              <w:t xml:space="preserve">Android/PDA </w:t>
            </w:r>
            <w:r>
              <w:rPr>
                <w:sz w:val="18"/>
              </w:rPr>
              <w:t>收银库存和恢复能力，更新老板筛选及计费口径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V2.1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2026-09-07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按当前工作区（含未提交改动）更新收货上架、移库补货、商品建档、登录恢复、打印和财务核对；功能启用及设备使用以实际部署为准</w:t>
            </w:r>
          </w:p>
        </w:tc>
      </w:tr>
      <w:tr>
        <w:trPr/>
        <w:tc>
          <w:tcPr>
            <w:tcW w:w="545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V2.0</w:t>
            </w:r>
          </w:p>
        </w:tc>
        <w:tc>
          <w:tcPr>
            <w:tcW w:w="884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>
                <w:sz w:val="18"/>
              </w:rPr>
            </w:pPr>
            <w:r>
              <w:rPr>
                <w:sz w:val="18"/>
              </w:rPr>
              <w:t>2026-08-04</w:t>
            </w:r>
          </w:p>
        </w:tc>
        <w:tc>
          <w:tcPr>
            <w:tcW w:w="8621" w:type="dxa"/>
            <w:tcBorders>
              <w:top w:val="single" w:sz="2" w:space="0" w:color="BDC9DA"/>
              <w:start w:val="single" w:sz="2" w:space="0" w:color="BDC9DA"/>
              <w:bottom w:val="single" w:sz="2" w:space="0" w:color="BDC9DA"/>
              <w:end w:val="single" w:sz="2" w:space="0" w:color="BDC9DA"/>
            </w:tcBorders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18"/>
              </w:rPr>
            </w:pPr>
            <w:r>
              <w:rPr>
                <w:sz w:val="18"/>
              </w:rPr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2240" w:h="15840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金桥融通WMS货主业务员操作手册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