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838200" cy="838200"/>
            <wp:effectExtent l="0" t="0" r="0" b="0"/>
            <wp:docPr id="1" name="Image1" descr="" title="金桥融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金桥融通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1"/>
        <w:bidi w:val="0"/>
        <w:jc w:val="start"/>
        <w:rPr/>
      </w:pPr>
      <w:r>
        <w:rPr/>
        <w:t>金桥融通</w:t>
      </w:r>
      <w:r>
        <w:rPr/>
        <w:t>WMS</w:t>
      </w:r>
      <w:r>
        <w:rPr/>
        <w:t>货主管理员操作手册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岗位操作 </w:t>
      </w:r>
      <w:r>
        <w:rPr/>
        <w:t xml:space="preserve">· </w:t>
      </w:r>
      <w:r>
        <w:rPr/>
        <w:t xml:space="preserve">权限边界 </w:t>
      </w:r>
      <w:r>
        <w:rPr/>
        <w:t xml:space="preserve">· </w:t>
      </w:r>
      <w:r>
        <w:rPr/>
        <w:t>异常处理</w:t>
      </w:r>
    </w:p>
    <w:p>
      <w:pPr>
        <w:pStyle w:val="BodyText"/>
        <w:bidi w:val="0"/>
        <w:spacing w:before="0" w:after="0"/>
        <w:jc w:val="start"/>
        <w:rPr/>
      </w:pPr>
      <w:r>
        <w:rPr/>
        <w:t>文档版本：</w:t>
      </w:r>
      <w:r>
        <w:rPr/>
        <w:t>V2.2</w:t>
      </w:r>
    </w:p>
    <w:p>
      <w:pPr>
        <w:pStyle w:val="BodyText"/>
        <w:bidi w:val="0"/>
        <w:spacing w:before="0" w:after="0"/>
        <w:jc w:val="start"/>
        <w:rPr/>
      </w:pPr>
      <w:r>
        <w:rPr/>
        <w:t>适用基线：</w:t>
      </w:r>
      <w:r>
        <w:rPr/>
        <w:t xml:space="preserve">2026-10-17 </w:t>
      </w:r>
      <w:r>
        <w:rPr/>
        <w:t>当前工作区</w:t>
      </w:r>
    </w:p>
    <w:p>
      <w:pPr>
        <w:pStyle w:val="BodyText"/>
        <w:bidi w:val="0"/>
        <w:spacing w:before="0" w:after="0"/>
        <w:jc w:val="start"/>
        <w:rPr/>
      </w:pPr>
      <w:r>
        <w:rPr/>
        <w:t>文档状态：交付版</w:t>
      </w:r>
    </w:p>
    <w:p>
      <w:pPr>
        <w:pStyle w:val="BodyText"/>
        <w:bidi w:val="0"/>
        <w:spacing w:before="0" w:after="0"/>
        <w:jc w:val="start"/>
        <w:rPr/>
      </w:pPr>
      <w:r>
        <w:rPr/>
        <w:t>主要读者：货主管理员</w:t>
      </w:r>
    </w:p>
    <w:p>
      <w:pPr>
        <w:pStyle w:val="BodyText"/>
        <w:bidi w:val="0"/>
        <w:jc w:val="start"/>
        <w:rPr/>
      </w:pPr>
      <w:r>
        <w:rPr/>
        <w:t>实际菜单和数据范围以账号角色、权限及显式货主</w:t>
      </w:r>
      <w:r>
        <w:rPr/>
        <w:t>/</w:t>
      </w:r>
      <w:r>
        <w:rPr/>
        <w:t>仓库范围为准</w:t>
      </w:r>
    </w:p>
    <w:p>
      <w:pPr>
        <w:pStyle w:val="Heading1"/>
        <w:pageBreakBefore w:val="1"/>
        <w:bidi w:val="0"/>
        <w:jc w:val="start"/>
        <w:rPr/>
      </w:pPr>
      <w:r>
        <w:rPr/>
        <w:t>目录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-使用范围">
        <w:r>
          <w:rPr>
            <w:rStyle w:val="Hyperlink"/>
          </w:rPr>
          <w:t>使用范围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-登录-账号与通用安全">
        <w:r>
          <w:rPr>
            <w:rStyle w:val="Hyperlink"/>
          </w:rPr>
          <w:t>登录、账号与通用安全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3-首次登录">
        <w:r>
          <w:rPr>
            <w:rStyle w:val="Hyperlink"/>
          </w:rPr>
          <w:t>首次登录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4-登录失效与切换账号">
        <w:r>
          <w:rPr>
            <w:rStyle w:val="Hyperlink"/>
          </w:rPr>
          <w:t>登录失效与切换账号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5-账号和数据范围">
        <w:r>
          <w:rPr>
            <w:rStyle w:val="Hyperlink"/>
          </w:rPr>
          <w:t>账号和数据范围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6-通用操作原则">
        <w:r>
          <w:rPr>
            <w:rStyle w:val="Hyperlink"/>
          </w:rPr>
          <w:t>通用操作原则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7-修改密码与退出">
        <w:r>
          <w:rPr>
            <w:rStyle w:val="Hyperlink"/>
          </w:rPr>
          <w:t>修改密码与退出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8-角色职责与权限">
        <w:r>
          <w:rPr>
            <w:rStyle w:val="Hyperlink"/>
          </w:rPr>
          <w:t>角色职责与权限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9-每日审核顺序">
        <w:r>
          <w:rPr>
            <w:rStyle w:val="Hyperlink"/>
          </w:rPr>
          <w:t>每日审核顺序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0-订单审核通过">
        <w:r>
          <w:rPr>
            <w:rStyle w:val="Hyperlink"/>
          </w:rPr>
          <w:t>订单审核通过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1-退回修改">
        <w:r>
          <w:rPr>
            <w:rStyle w:val="Hyperlink"/>
          </w:rPr>
          <w:t>退回修改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2-取消订单">
        <w:r>
          <w:rPr>
            <w:rStyle w:val="Hyperlink"/>
          </w:rPr>
          <w:t>取消订单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3-库存与履约报表">
        <w:r>
          <w:rPr>
            <w:rStyle w:val="Hyperlink"/>
          </w:rPr>
          <w:t>库存与履约报表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4-共享客户与代办转货核对">
        <w:r>
          <w:rPr>
            <w:rStyle w:val="Hyperlink"/>
          </w:rPr>
          <w:t>共享客户与代办转货核对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5-计费与账单核对">
        <w:r>
          <w:rPr>
            <w:rStyle w:val="Hyperlink"/>
          </w:rPr>
          <w:t>计费与账单核对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6-月结确认清单">
        <w:r>
          <w:rPr>
            <w:rStyle w:val="Hyperlink"/>
          </w:rPr>
          <w:t>月结确认清单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7-常见状态与控制点">
        <w:r>
          <w:rPr>
            <w:rStyle w:val="Hyperlink"/>
          </w:rPr>
          <w:t>常见状态与控制点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8-异常处理与问题上报">
        <w:r>
          <w:rPr>
            <w:rStyle w:val="Hyperlink"/>
          </w:rPr>
          <w:t>异常处理与问题上报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9-无法登录或菜单缺失">
        <w:r>
          <w:rPr>
            <w:rStyle w:val="Hyperlink"/>
          </w:rPr>
          <w:t>无法登录或菜单缺失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0-数据为空或范围不正确">
        <w:r>
          <w:rPr>
            <w:rStyle w:val="Hyperlink"/>
          </w:rPr>
          <w:t>数据为空或范围不正确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1-网络超时或重复提交提示">
        <w:r>
          <w:rPr>
            <w:rStyle w:val="Hyperlink"/>
          </w:rPr>
          <w:t>网络超时或重复提交提示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2-打印失败或打印页过期">
        <w:r>
          <w:rPr>
            <w:rStyle w:val="Hyperlink"/>
          </w:rPr>
          <w:t>打印失败或打印页过期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3-移库-补货过账失败">
        <w:r>
          <w:rPr>
            <w:rStyle w:val="Hyperlink"/>
          </w:rPr>
          <w:t>移库、补货过账失败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4-库存-任务或账单不一致">
        <w:r>
          <w:rPr>
            <w:rStyle w:val="Hyperlink"/>
          </w:rPr>
          <w:t>库存、任务或账单不一致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5-问题上报模板">
        <w:r>
          <w:rPr>
            <w:rStyle w:val="Hyperlink"/>
          </w:rPr>
          <w:t>问题上报模板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6-日常自检与培训验收">
        <w:r>
          <w:rPr>
            <w:rStyle w:val="Hyperlink"/>
          </w:rPr>
          <w:t>日常自检与培训验收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7-专项手册与边界">
        <w:r>
          <w:rPr>
            <w:rStyle w:val="Hyperlink"/>
          </w:rPr>
          <w:t>专项手册与边界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hyperlink w:anchor="section-28-文档修订记录">
        <w:r>
          <w:rPr>
            <w:rStyle w:val="Hyperlink"/>
          </w:rPr>
          <w:t>文档修订记录</w:t>
        </w:r>
      </w:hyperlink>
    </w:p>
    <w:p>
      <w:pPr>
        <w:pStyle w:val="BodyText"/>
        <w:pageBreakBefore w:val="1"/>
        <w:bidi w:val="0"/>
        <w:jc w:val="start"/>
        <w:rPr/>
      </w:pPr>
      <w:r>
        <w:rPr/>
        <w:t>本手册仅描述当前代码中具有有效权限、页面和业务闭环的功能。</w:t>
      </w:r>
    </w:p>
    <w:p>
      <w:pPr>
        <w:pStyle w:val="BodyText"/>
        <w:bidi w:val="0"/>
        <w:jc w:val="start"/>
        <w:rPr/>
      </w:pPr>
      <w:r>
        <w:rPr>
          <w:rStyle w:val="Strong"/>
        </w:rPr>
        <w:t>文档版本：</w:t>
      </w:r>
      <w:r>
        <w:rPr/>
        <w:t xml:space="preserve"> </w:t>
      </w:r>
      <w:r>
        <w:rPr/>
        <w:t>V2.2</w:t>
      </w:r>
    </w:p>
    <w:p>
      <w:pPr>
        <w:pStyle w:val="BodyText"/>
        <w:bidi w:val="0"/>
        <w:jc w:val="start"/>
        <w:rPr/>
      </w:pPr>
      <w:r>
        <w:rPr>
          <w:rStyle w:val="Strong"/>
        </w:rPr>
        <w:t>适用系统版本：</w:t>
      </w:r>
      <w:r>
        <w:rPr/>
        <w:t xml:space="preserve"> </w:t>
      </w:r>
      <w:r>
        <w:rPr/>
        <w:t xml:space="preserve">2026-10-17 </w:t>
      </w:r>
      <w:r>
        <w:rPr/>
        <w:t>当前工作区业务基线</w:t>
      </w:r>
    </w:p>
    <w:p>
      <w:pPr>
        <w:pStyle w:val="BodyText"/>
        <w:bidi w:val="0"/>
        <w:jc w:val="start"/>
        <w:rPr/>
      </w:pPr>
      <w:r>
        <w:rPr>
          <w:rStyle w:val="Strong"/>
        </w:rPr>
        <w:t>适用对象：</w:t>
      </w:r>
      <w:r>
        <w:rPr/>
        <w:t xml:space="preserve"> 货主管理员</w:t>
      </w:r>
    </w:p>
    <w:p>
      <w:pPr>
        <w:pStyle w:val="BodyText"/>
        <w:bidi w:val="0"/>
        <w:jc w:val="start"/>
        <w:rPr/>
      </w:pPr>
      <w:r>
        <w:rPr>
          <w:rStyle w:val="Strong"/>
        </w:rPr>
        <w:t>正式权限组：</w:t>
      </w:r>
      <w:r>
        <w:rPr/>
        <w:t xml:space="preserve"> </w:t>
      </w:r>
      <w:r>
        <w:rPr>
          <w:rStyle w:val="SourceText"/>
        </w:rPr>
        <w:t>WMS::</w:t>
      </w:r>
      <w:r>
        <w:rPr>
          <w:rStyle w:val="SourceText"/>
        </w:rPr>
        <w:t>货主管理员</w:t>
      </w:r>
    </w:p>
    <w:p>
      <w:pPr>
        <w:pStyle w:val="BodyText"/>
        <w:bidi w:val="0"/>
        <w:jc w:val="start"/>
        <w:rPr/>
      </w:pPr>
      <w:r>
        <w:rPr>
          <w:rStyle w:val="Strong"/>
        </w:rPr>
        <w:t>主要入口：</w:t>
      </w:r>
      <w:r>
        <w:rPr/>
        <w:t xml:space="preserve"> 货主业务端（</w:t>
      </w:r>
      <w:r>
        <w:rPr/>
        <w:t>wmsownersale</w:t>
      </w:r>
      <w:r>
        <w:rPr/>
        <w:t>）</w:t>
      </w:r>
    </w:p>
    <w:p>
      <w:pPr>
        <w:pStyle w:val="BodyText"/>
        <w:bidi w:val="0"/>
        <w:jc w:val="start"/>
        <w:rPr/>
      </w:pPr>
      <w:r>
        <w:rPr>
          <w:rStyle w:val="Strong"/>
        </w:rPr>
        <w:t>文档状态：</w:t>
      </w:r>
      <w:r>
        <w:rPr/>
        <w:t xml:space="preserve"> 交付版</w:t>
      </w:r>
    </w:p>
    <w:p>
      <w:pPr>
        <w:pStyle w:val="BlockQuotation"/>
        <w:bidi w:val="0"/>
        <w:jc w:val="start"/>
        <w:rPr/>
      </w:pPr>
      <w:r>
        <w:rPr/>
        <w:t>本手册按当前业务代码、权限校验、客户端页面和自动化测试契约编写。实际菜单由角色、权限和显式数据范围共同决定。</w:t>
      </w:r>
    </w:p>
    <w:p>
      <w:pPr>
        <w:pStyle w:val="Heading2"/>
        <w:bidi w:val="0"/>
        <w:ind w:hanging="0" w:start="0" w:end="0"/>
        <w:jc w:val="start"/>
        <w:rPr/>
      </w:pPr>
      <w:bookmarkStart w:id="0" w:name="section-1-使用范围"/>
      <w:bookmarkEnd w:id="0"/>
      <w:r>
        <w:rPr/>
        <w:t>使用范围</w:t>
      </w:r>
    </w:p>
    <w:tbl>
      <w:tblPr>
        <w:tblW w:w="10050" w:type="dxa"/>
        <w:jc w:val="start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3032"/>
        <w:gridCol w:w="7017"/>
      </w:tblGrid>
      <w:tr>
        <w:trPr>
          <w:tblHeader w:val="true"/>
        </w:trPr>
        <w:tc>
          <w:tcPr>
            <w:tcW w:w="303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项目</w:t>
            </w:r>
          </w:p>
        </w:tc>
        <w:tc>
          <w:tcPr>
            <w:tcW w:w="701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本角色要求</w:t>
            </w:r>
          </w:p>
        </w:tc>
      </w:tr>
      <w:tr>
        <w:trPr/>
        <w:tc>
          <w:tcPr>
            <w:tcW w:w="303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角色</w:t>
            </w:r>
          </w:p>
        </w:tc>
        <w:tc>
          <w:tcPr>
            <w:tcW w:w="701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货主管理员</w:t>
            </w:r>
          </w:p>
        </w:tc>
      </w:tr>
      <w:tr>
        <w:trPr/>
        <w:tc>
          <w:tcPr>
            <w:tcW w:w="303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正式权限组</w:t>
            </w:r>
          </w:p>
        </w:tc>
        <w:tc>
          <w:tcPr>
            <w:tcW w:w="701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ourceText"/>
                <w:sz w:val="18"/>
              </w:rPr>
              <w:t>WMS::</w:t>
            </w:r>
            <w:r>
              <w:rPr>
                <w:rStyle w:val="SourceText"/>
                <w:sz w:val="18"/>
              </w:rPr>
              <w:t>货主管理员</w:t>
            </w:r>
          </w:p>
        </w:tc>
      </w:tr>
      <w:tr>
        <w:trPr/>
        <w:tc>
          <w:tcPr>
            <w:tcW w:w="303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主要入口</w:t>
            </w:r>
          </w:p>
        </w:tc>
        <w:tc>
          <w:tcPr>
            <w:tcW w:w="701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>货主业务端（</w:t>
            </w:r>
            <w:r>
              <w:rPr>
                <w:sz w:val="18"/>
              </w:rPr>
              <w:t>wmsownersale</w:t>
            </w:r>
            <w:r>
              <w:rPr>
                <w:sz w:val="18"/>
              </w:rPr>
              <w:t>）</w:t>
            </w:r>
          </w:p>
        </w:tc>
      </w:tr>
      <w:tr>
        <w:trPr/>
        <w:tc>
          <w:tcPr>
            <w:tcW w:w="303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数据范围</w:t>
            </w:r>
          </w:p>
        </w:tc>
        <w:tc>
          <w:tcPr>
            <w:tcW w:w="701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18"/>
              </w:rPr>
            </w:pPr>
            <w:r>
              <w:rPr>
                <w:sz w:val="18"/>
              </w:rPr>
              <w:t>一个明确的货主范围</w:t>
            </w:r>
          </w:p>
        </w:tc>
      </w:tr>
    </w:tbl>
    <w:p>
      <w:pPr>
        <w:pStyle w:val="BodyText"/>
        <w:bidi w:val="0"/>
        <w:jc w:val="start"/>
        <w:rPr/>
      </w:pPr>
      <w:r>
        <w:rPr/>
        <w:t>本册可独立用于培训和日常操作，不要求先阅读合订版。涉及其他岗位时，只说明交接点，不授权本角色代替其他岗位操作。</w:t>
      </w:r>
    </w:p>
    <w:p>
      <w:pPr>
        <w:pStyle w:val="Heading2"/>
        <w:bidi w:val="0"/>
        <w:ind w:hanging="0" w:start="0" w:end="0"/>
        <w:jc w:val="start"/>
        <w:rPr/>
      </w:pPr>
      <w:bookmarkStart w:id="1" w:name="section-2-登录-账号与通用安全"/>
      <w:bookmarkEnd w:id="1"/>
      <w:r>
        <w:rPr/>
        <w:t>登录、账号与通用安全</w:t>
      </w:r>
    </w:p>
    <w:p>
      <w:pPr>
        <w:pStyle w:val="Heading3"/>
        <w:bidi w:val="0"/>
        <w:ind w:hanging="0" w:start="0" w:end="0"/>
        <w:jc w:val="start"/>
        <w:rPr/>
      </w:pPr>
      <w:bookmarkStart w:id="2" w:name="section-3-首次登录"/>
      <w:bookmarkEnd w:id="2"/>
      <w:r>
        <w:rPr/>
        <w:t>首次登录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从系统管理员处取得正式入口、用户名和初始密码。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打开本岗位对应的应用或 </w:t>
      </w:r>
      <w:r>
        <w:rPr/>
        <w:t xml:space="preserve">Web </w:t>
      </w:r>
      <w:r>
        <w:rPr/>
        <w:t xml:space="preserve">地址，输入用户名和密码。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登录后核对显示姓名、业务角色以及货主或仓库范围。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首次登录立即进入“我的 → 修改密码”或 </w:t>
      </w:r>
      <w:r>
        <w:rPr/>
        <w:t xml:space="preserve">Web </w:t>
      </w:r>
      <w:r>
        <w:rPr/>
        <w:t xml:space="preserve">右上角密码修改入口。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如果能够登录但没有菜单，不要借用其他账号，记录用户名、入口和页面截图并联系系统管理员。 </w:t>
      </w:r>
    </w:p>
    <w:p>
      <w:pPr>
        <w:pStyle w:val="Heading3"/>
        <w:bidi w:val="0"/>
        <w:ind w:hanging="0" w:start="0" w:end="0"/>
        <w:jc w:val="start"/>
        <w:rPr/>
      </w:pPr>
      <w:bookmarkStart w:id="3" w:name="section-4-登录失效与切换账号"/>
      <w:bookmarkEnd w:id="3"/>
      <w:r>
        <w:rPr/>
        <w:t>登录失效与切换账号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使用管理员提供的正式入口；客户端的服务地址由部署配置决定，不在登录页自行改接其他服务器。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使用过程中客户端会尝试续期登录。临时断网或服务器繁忙时先检查网络，恢复后重新查询当前单据；不能把网络故障当成业务未提交。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明确提示登录失效并返回登录页时，重新登录本人账号，再核对角色、仓库或货主范围。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看到“登录账号已变化”或“登录状态已变化”时停止当前操作，刷新页面并重新选择业务对象。旧账号的页面结果不能作为新账号继续操作的依据。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连续登录过频时按提示等待，不连续点击；仍不能登录则联系管理员检查账号。 </w:t>
      </w:r>
    </w:p>
    <w:p>
      <w:pPr>
        <w:pStyle w:val="Heading3"/>
        <w:bidi w:val="0"/>
        <w:ind w:hanging="0" w:start="0" w:end="0"/>
        <w:jc w:val="start"/>
        <w:rPr/>
      </w:pPr>
      <w:bookmarkStart w:id="4" w:name="section-5-账号和数据范围"/>
      <w:bookmarkEnd w:id="4"/>
      <w:r>
        <w:rPr/>
        <w:t>账号和数据范围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一人一号，不得共用账号或把密码留在 </w:t>
      </w:r>
      <w:r>
        <w:rPr/>
        <w:t>PDA</w:t>
      </w:r>
      <w:r>
        <w:rPr/>
        <w:t xml:space="preserve">、电脑旁。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角色决定能够执行什么操作；显式角色范围决定能够操作哪个货主或仓库的数据。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普通 </w:t>
      </w:r>
      <w:r>
        <w:rPr/>
        <w:t xml:space="preserve">WMS </w:t>
      </w:r>
      <w:r>
        <w:rPr/>
        <w:t xml:space="preserve">用户只能启用一种业务角色。除仓库老板可授权多个仓库外，其他角色只能有一个活动范围。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超级管理员使用全局权限，不设置业务角色范围；超级管理员账号不得用于日常开单、审批和现场作业。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离职、调岗、合作终止或设备丢失后，应立即停用账号并保留审计记录。 </w:t>
      </w:r>
    </w:p>
    <w:p>
      <w:pPr>
        <w:pStyle w:val="Heading3"/>
        <w:bidi w:val="0"/>
        <w:ind w:hanging="0" w:start="0" w:end="0"/>
        <w:jc w:val="start"/>
        <w:rPr/>
      </w:pPr>
      <w:bookmarkStart w:id="5" w:name="section-6-通用操作原则"/>
      <w:bookmarkEnd w:id="5"/>
      <w:r>
        <w:rPr/>
        <w:t>通用操作原则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操作前核对货主、仓库、客户、商品、批次、库位和单据号。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扫码后必须核对系统命中的商品名称和规格，不能只凭提示音继续。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审核、复核、过账、取消和库存调整会改变业务状态或库存，提交前必须再次确认。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系统提示成功后再离开页面；网络中断时先查询原单状态，确认未成功后才重试。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禁止通过直接修改库存明细来代替正常收货、上架、拣货、复核、盘点或调整流程。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页面入口可见不代表账号一定有执行权限；最终以服务器返回的角色、权限和数据范围校验为准。 </w:t>
      </w:r>
    </w:p>
    <w:p>
      <w:pPr>
        <w:pStyle w:val="Heading3"/>
        <w:bidi w:val="0"/>
        <w:ind w:hanging="0" w:start="0" w:end="0"/>
        <w:jc w:val="start"/>
        <w:rPr/>
      </w:pPr>
      <w:bookmarkStart w:id="6" w:name="section-7-修改密码与退出"/>
      <w:bookmarkEnd w:id="6"/>
      <w:r>
        <w:rPr/>
        <w:t>修改密码与退出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修改密码时输入原密码、新密码和确认密码；新密码必须通过系统安全校验。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修改成功后退出，并用新密码重新登录验证。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当班结束或共用设备交接前必须从“我的”或用户菜单执行退出，不能只关闭屏幕或浏览器。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切换账号前先记录尚未确认的单号、任务号及收付款结果；下一位人员使用自己的账号重新打开业务页面，不接着提交上一账号遗留的内容。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7" w:name="section-8-角色职责与权限"/>
      <w:bookmarkEnd w:id="7"/>
      <w:r>
        <w:rPr/>
        <w:t>角色职责与权限</w:t>
      </w:r>
    </w:p>
    <w:p>
      <w:pPr>
        <w:pStyle w:val="BodyText"/>
        <w:bidi w:val="0"/>
        <w:jc w:val="start"/>
        <w:rPr/>
      </w:pPr>
      <w:r>
        <w:rPr/>
        <w:t xml:space="preserve">货主管理员负责本货主订单的商业审核、退回、取消，以及库存、履约报表和财务数据核对。规范角色组为 </w:t>
      </w:r>
      <w:r>
        <w:rPr>
          <w:rStyle w:val="SourceText"/>
        </w:rPr>
        <w:t>WMS::</w:t>
      </w:r>
      <w:r>
        <w:rPr>
          <w:rStyle w:val="SourceText"/>
        </w:rPr>
        <w:t>货主管理员</w:t>
      </w:r>
      <w:r>
        <w:rPr/>
        <w:t>，必须配置一个活动货主范围。</w:t>
      </w:r>
    </w:p>
    <w:p>
      <w:pPr>
        <w:pStyle w:val="BodyText"/>
        <w:bidi w:val="0"/>
        <w:jc w:val="start"/>
        <w:rPr/>
      </w:pPr>
      <w:r>
        <w:rPr/>
        <w:t>默认能力包括货主订单管理、货主运营报表和货主财务查看；不能查看其他货主数据，不能代替仓库管理员确认发布，也不能执行仓库现场拣货、复核或过账。</w:t>
      </w:r>
    </w:p>
    <w:p>
      <w:pPr>
        <w:pStyle w:val="Heading2"/>
        <w:bidi w:val="0"/>
        <w:ind w:hanging="0" w:start="0" w:end="0"/>
        <w:jc w:val="start"/>
        <w:rPr/>
      </w:pPr>
      <w:bookmarkStart w:id="8" w:name="section-9-每日审核顺序"/>
      <w:bookmarkEnd w:id="8"/>
      <w:r>
        <w:rPr/>
        <w:t>每日审核顺序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登录货主业务端，在“功能 → 订单审批”查看待审核数量。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优先处理交付时限临近、一件代发和库存紧张订单。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审核前打开详情，不能只根据列表摘要批量判断。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审核结束后查看已通过、已退回和已取消标签，确认处理结果。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定期核对实时库存、入出库履约、销售报表和计费总览。 </w:t>
      </w:r>
    </w:p>
    <w:p>
      <w:pPr>
        <w:pStyle w:val="Heading2"/>
        <w:bidi w:val="0"/>
        <w:ind w:hanging="0" w:start="0" w:end="0"/>
        <w:jc w:val="start"/>
        <w:rPr/>
      </w:pPr>
      <w:bookmarkStart w:id="9" w:name="section-10-订单审核通过"/>
      <w:bookmarkEnd w:id="9"/>
      <w:r>
        <w:rPr/>
        <w:t>订单审核通过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在“订单审批”打开待审核订单。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核对货主、履约仓库、客户、平台单号、商品、包装换算、数量、成交价、总金额和收件信息。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确认订单为已提交、未关闭且状态允许审核；草稿、已撤回、已退回或已取消订单不能审核。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复查当前商品价格规则。系统会使用审核时的最新最低价和折扣限制再次校验，不能依赖业务员提交时的旧价格。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确认业务真实、价格合规、地址完整且不存在明显重复后点击“审核通过”。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审核通过会冻结</w:t>
      </w:r>
      <w:r>
        <w:rPr/>
        <w:t>/</w:t>
      </w:r>
      <w:r>
        <w:rPr/>
        <w:t xml:space="preserve">分配库存，并创建或刷新 </w:t>
      </w:r>
      <w:r>
        <w:rPr>
          <w:rStyle w:val="SourceText"/>
        </w:rPr>
        <w:t>RESERVED</w:t>
      </w:r>
      <w:r>
        <w:rPr/>
        <w:t xml:space="preserve"> </w:t>
      </w:r>
      <w:r>
        <w:rPr/>
        <w:t xml:space="preserve">拣货任务；这时任务尚未发布，仍需仓库管理员确认。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返回列表确认状态为货主已通过，必要时通知仓库处理待确认订单。 </w:t>
      </w:r>
    </w:p>
    <w:p>
      <w:pPr>
        <w:pStyle w:val="BodyText"/>
        <w:bidi w:val="0"/>
        <w:jc w:val="start"/>
        <w:rPr/>
      </w:pPr>
      <w:r>
        <w:rPr/>
        <w:t>库存允许欠货的后台审核路径仍必须留下完整订单和分配结果；不得把“审核成功”理解为库存已经扣减。</w:t>
      </w:r>
    </w:p>
    <w:p>
      <w:pPr>
        <w:pStyle w:val="Heading2"/>
        <w:bidi w:val="0"/>
        <w:ind w:hanging="0" w:start="0" w:end="0"/>
        <w:jc w:val="start"/>
        <w:rPr/>
      </w:pPr>
      <w:bookmarkStart w:id="10" w:name="section-11-退回修改"/>
      <w:bookmarkEnd w:id="10"/>
      <w:r>
        <w:rPr/>
        <w:t>退回修改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信息可以由原业务员修正时点击“退回修改”。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退回原因必填，最长 </w:t>
      </w:r>
      <w:r>
        <w:rPr/>
        <w:t xml:space="preserve">200 </w:t>
      </w:r>
      <w:r>
        <w:rPr/>
        <w:t xml:space="preserve">个字符，应明确指出客户、仓库、商品、数量、价格或地址中的具体问题。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系统将订单退回可编辑草稿，并保存最近退回原因。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只有原创建业务员可以修改并重新提交；管理员不得另建重复订单代替修改。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业务员重提后重新进行完整审核，不能沿用上次结论。 </w:t>
      </w:r>
    </w:p>
    <w:p>
      <w:pPr>
        <w:pStyle w:val="Heading2"/>
        <w:bidi w:val="0"/>
        <w:ind w:hanging="0" w:start="0" w:end="0"/>
        <w:jc w:val="start"/>
        <w:rPr/>
      </w:pPr>
      <w:bookmarkStart w:id="11" w:name="section-12-取消订单"/>
      <w:bookmarkEnd w:id="11"/>
      <w:r>
        <w:rPr/>
        <w:t>取消订单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订单不应继续履约时点击“取消订单”，填写真实业务原因。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已取消或已关闭订单不能重复取消。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系统会检查关联拣货任务；任务已开始、已完成或存在执行数量时会阻止直接取消。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取消成功后核对订单状态、任务状态、已分配数量和可用库存是否恢复。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如果实物已经移动，先通知仓库隔离实物并按异常流程处理，不得绕过系统校验。 </w:t>
      </w:r>
    </w:p>
    <w:p>
      <w:pPr>
        <w:pStyle w:val="Heading2"/>
        <w:bidi w:val="0"/>
        <w:ind w:hanging="0" w:start="0" w:end="0"/>
        <w:jc w:val="start"/>
        <w:rPr/>
      </w:pPr>
      <w:bookmarkStart w:id="12" w:name="section-13-库存与履约报表"/>
      <w:bookmarkEnd w:id="12"/>
      <w:r>
        <w:rPr/>
        <w:t>库存与履约报表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实时库存”按本货主显示在库、可用、已分配等数量；判断新订单能力时使用可用数量。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>入出库履约”按日期查看汇总和逐行明细，并可切换“实际</w:t>
      </w:r>
      <w:r>
        <w:rPr/>
        <w:t>/</w:t>
      </w:r>
      <w:r>
        <w:rPr/>
        <w:t xml:space="preserve">计划”口径：实际入库取 </w:t>
      </w:r>
      <w:r>
        <w:rPr/>
        <w:t xml:space="preserve">RECEIVE </w:t>
      </w:r>
      <w:r>
        <w:rPr/>
        <w:t xml:space="preserve">库存过账、实际出库取已完成 </w:t>
      </w:r>
      <w:r>
        <w:rPr/>
        <w:t xml:space="preserve">DISPATCH </w:t>
      </w:r>
      <w:r>
        <w:rPr/>
        <w:t xml:space="preserve">发运；计划口径按订单业务日期和需求数量统计。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销售报表”用于业务趋势和订单查询，不代替库存流水或账单依据。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发现已取消订单仍在执行、货主已审核却没有保留任务、已过账任务库存未变化时立即上报。 </w:t>
      </w:r>
    </w:p>
    <w:p>
      <w:pPr>
        <w:pStyle w:val="Heading2"/>
        <w:bidi w:val="0"/>
        <w:ind w:hanging="0" w:start="0" w:end="0"/>
        <w:jc w:val="start"/>
        <w:rPr/>
      </w:pPr>
      <w:bookmarkStart w:id="13" w:name="section-14-共享客户与代办转货核对"/>
      <w:bookmarkEnd w:id="13"/>
      <w:r>
        <w:rPr/>
        <w:t>共享客户与代办转货核对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客户通用档案可供多个货主关联使用；本货主的客户编号、负责业务员及配送资料以本货主关联为准。关联被停用后不能继续新开单，遇到客户缺失交管理员维护，不通过复制客户或改旧归属字段绕过限制。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仓库代办选择新货主时，销售单归新货主，另有独立转货单记录原货主转出。转货价与客户销售价分别核对；不能把转货金额当作终端销售额或已收款。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取得转货查看权限并具备后台登录条件后，可在“代办货权转移单”查看涉及本货主的证据。原货主只能看转货证据，不能据此访问新货主的客户销售订单；新货主按本货主范围核对销售履约。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待转货”表示已预留，只有“已转货并出库”及对应过账流水才能确认完成。不另建入库或出库单重复记账；异常交仓库管理员核对原任务。 </w:t>
      </w:r>
    </w:p>
    <w:p>
      <w:pPr>
        <w:pStyle w:val="Heading2"/>
        <w:bidi w:val="0"/>
        <w:ind w:hanging="0" w:start="0" w:end="0"/>
        <w:jc w:val="start"/>
        <w:rPr/>
      </w:pPr>
      <w:bookmarkStart w:id="14" w:name="section-15-计费与账单核对"/>
      <w:bookmarkEnd w:id="14"/>
      <w:r>
        <w:rPr/>
        <w:t>计费与账单核对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进入“计费总览”，选择账期并确认货主范围，查看总额、收费构成、状态和每日趋势。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在“当前账单”点击“查看账单详情”。账期尚未生成账单时，按钮不可用；保留账期信息交财务确认，不能把未出账当成没有费用。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核对账单期间、状态、不含税金额、税额和价税合计，再按服务日期、费用类型和关键词筛选明细。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区分页面顶部整张账单金额与“当前筛选结果”金额；局部筛选为空或小计变化不会改变账单总额。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逐行核对服务日期、费用类型、数量、单价、金额和说明。货主端账单行用于展示核对，不提供老板端的收费记录下钻或后台规则编辑；需要进一步追溯时把账单号和费用行信息交财务。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差异上报必须包含货主、仓库、账期、收费类型、金额、筛选条件和业务单号；不得直接要求修改账单总额。 </w:t>
      </w:r>
    </w:p>
    <w:p>
      <w:pPr>
        <w:pStyle w:val="BodyText"/>
        <w:bidi w:val="0"/>
        <w:jc w:val="start"/>
        <w:rPr/>
      </w:pPr>
      <w:r>
        <w:rPr/>
        <w:t xml:space="preserve">本岗位核对仓储服务账单，不通过该页面办理 </w:t>
      </w:r>
      <w:r>
        <w:rPr/>
        <w:t xml:space="preserve">POS </w:t>
      </w:r>
      <w:r>
        <w:rPr/>
        <w:t>客户还款、退款或交班。登录切换或临时网络失败后先刷新账期和账单，核对范围再继续。</w:t>
      </w:r>
    </w:p>
    <w:p>
      <w:pPr>
        <w:pStyle w:val="Heading2"/>
        <w:bidi w:val="0"/>
        <w:ind w:hanging="0" w:start="0" w:end="0"/>
        <w:jc w:val="start"/>
        <w:rPr/>
      </w:pPr>
      <w:bookmarkStart w:id="15" w:name="section-16-月结确认清单"/>
      <w:bookmarkEnd w:id="15"/>
      <w:r>
        <w:rPr/>
        <w:t>月结确认清单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本月订单量和业务台账一致。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退回、撤回和取消订单没有继续履约。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货主已审核订单均有可追踪的仓库处理状态。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期末库存抽查与仓库记录一致。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收费类型、计费数量和单价符合合同。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账单期间、不含税金额、税额和总额正确。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所有差异均有问题记录、责任人和处理状态。 </w:t>
      </w:r>
    </w:p>
    <w:p>
      <w:pPr>
        <w:pStyle w:val="Heading2"/>
        <w:bidi w:val="0"/>
        <w:ind w:hanging="0" w:start="0" w:end="0"/>
        <w:jc w:val="start"/>
        <w:rPr/>
      </w:pPr>
      <w:bookmarkStart w:id="16" w:name="section-17-常见状态与控制点"/>
      <w:bookmarkEnd w:id="16"/>
      <w:r>
        <w:rPr/>
        <w:t>常见状态与控制点</w:t>
      </w:r>
    </w:p>
    <w:tbl>
      <w:tblPr>
        <w:tblW w:w="10050" w:type="dxa"/>
        <w:jc w:val="start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2728"/>
        <w:gridCol w:w="2612"/>
        <w:gridCol w:w="4710"/>
      </w:tblGrid>
      <w:tr>
        <w:trPr>
          <w:tblHeader w:val="true"/>
        </w:trPr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状态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含义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操作要求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草稿 </w:t>
            </w:r>
            <w:r>
              <w:rPr>
                <w:sz w:val="18"/>
              </w:rPr>
              <w:t>/ DRAFT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单据尚未正式提交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原创建人可在权限允许时修改、提交或删除未生效内容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待货主审核 </w:t>
            </w:r>
            <w:r>
              <w:rPr>
                <w:sz w:val="18"/>
              </w:rPr>
              <w:t>/ OWNER_PENDING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业务员已经提交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等待货主管理员通过、退回或取消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货主已通过 </w:t>
            </w:r>
            <w:r>
              <w:rPr>
                <w:sz w:val="18"/>
              </w:rPr>
              <w:t>/ OWNER_APPROVED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商业条件已确认，库存可能已冻结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等待仓库管理员确认并发布任务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待仓库确认 </w:t>
            </w:r>
            <w:r>
              <w:rPr>
                <w:sz w:val="18"/>
              </w:rPr>
              <w:t>/ WHS_PENDING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等待仓库接单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仓库管理员检查仓库、库存和履约条件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仓库已确认 </w:t>
            </w:r>
            <w:r>
              <w:rPr>
                <w:sz w:val="18"/>
              </w:rPr>
              <w:t>/ WHS_APPROVED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已进入仓库履约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不得随意修改原订单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保留 </w:t>
            </w:r>
            <w:r>
              <w:rPr>
                <w:sz w:val="18"/>
              </w:rPr>
              <w:t>/ RESERVED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任务已因货主审核创建但尚未发布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仓库确认前不得现场执行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待发布 </w:t>
            </w:r>
            <w:r>
              <w:rPr>
                <w:sz w:val="18"/>
              </w:rPr>
              <w:t>/ READY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任务具备发布条件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由仓库管理员发布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已发布 </w:t>
            </w:r>
            <w:r>
              <w:rPr>
                <w:sz w:val="18"/>
              </w:rPr>
              <w:t>/ RELEASED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操作员可以领取或执行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按任务逐行扫描作业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执行中 </w:t>
            </w:r>
            <w:r>
              <w:rPr>
                <w:sz w:val="18"/>
              </w:rPr>
              <w:t>/ IN_PROGRESS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已发生现场作业记录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继续完成剩余任务行，不得另建重复任务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已完成 </w:t>
            </w:r>
            <w:r>
              <w:rPr>
                <w:sz w:val="18"/>
              </w:rPr>
              <w:t>/ COMPLETED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作业数量已经完成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等待复核、审核或过账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待审核 </w:t>
            </w:r>
            <w:r>
              <w:rPr>
                <w:sz w:val="18"/>
              </w:rPr>
              <w:t>/ PENDING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需要复核或管理确认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核对实物、数量、批次和库位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已过账 </w:t>
            </w:r>
            <w:r>
              <w:rPr>
                <w:sz w:val="18"/>
              </w:rPr>
              <w:t>/ POSTED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库存影响已正式生效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错误只能通过规范冲销或批准的调整处理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过账失败 </w:t>
            </w:r>
            <w:r>
              <w:rPr>
                <w:sz w:val="18"/>
              </w:rPr>
              <w:t>/ FAILED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库存写入没有成功完成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保留原任务号和错误信息，交管理员处理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已驳回 </w:t>
            </w:r>
            <w:r>
              <w:rPr>
                <w:sz w:val="18"/>
              </w:rPr>
              <w:t>/ REJECTED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审核未通过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查看原因并按流程修改、重提或终止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已取消 </w:t>
            </w:r>
            <w:r>
              <w:rPr>
                <w:sz w:val="18"/>
              </w:rPr>
              <w:t>/ CANCELLED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单据或任务终止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核对冻结库存是否释放、现场实物是否隔离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异常 </w:t>
            </w:r>
            <w:r>
              <w:rPr>
                <w:sz w:val="18"/>
              </w:rPr>
              <w:t>/ EXCEPTION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移库任务处于异常执行状态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操作员说明现场情况，管理员处理原因后决定恢复或作废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退货已冲销 </w:t>
            </w:r>
            <w:r>
              <w:rPr>
                <w:sz w:val="18"/>
              </w:rPr>
              <w:t>/ REVERSED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PDA </w:t>
            </w:r>
            <w:r>
              <w:rPr>
                <w:sz w:val="18"/>
              </w:rPr>
              <w:t>退货整单已恢复原库存维度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18"/>
              </w:rPr>
            </w:pPr>
            <w:r>
              <w:rPr>
                <w:sz w:val="18"/>
              </w:rPr>
              <w:t>原退货记录保留；现场发现破损仍恢复为破损，不再重复补库存</w:t>
            </w:r>
          </w:p>
        </w:tc>
      </w:tr>
    </w:tbl>
    <w:p>
      <w:pPr>
        <w:pStyle w:val="BodyText"/>
        <w:bidi w:val="0"/>
        <w:jc w:val="start"/>
        <w:rPr/>
      </w:pPr>
      <w:r>
        <w:rPr/>
        <w:t>关键控制点：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货主管理员审核是商业确认，仓库管理员确认是履约确认，两者不能互相替代。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标准出库必须先完成货主审核，再由仓库管理员确认发布；系统已停用仓库端代替货主审批的一键流程。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拣货完成不等于库存已经扣减；以任务过账状态 </w:t>
      </w:r>
      <w:r>
        <w:rPr>
          <w:rStyle w:val="SourceText"/>
        </w:rPr>
        <w:t>POSTED</w:t>
      </w:r>
      <w:r>
        <w:rPr/>
        <w:t xml:space="preserve"> </w:t>
      </w:r>
      <w:r>
        <w:rPr/>
        <w:t xml:space="preserve">和库存流水为准。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取消、撤回或驳回涉及已冻结库存时，必须核对分配量已经释放；任务已开始或已有执行数量时，系统会阻止直接取消。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移库和补货需要同时看任务状态、行完成量和过账状态；分次扫描只累计执行数量，库存移动以整任务过账成功为准。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移库异常执行状态与过账失败不是同一件事；“恢复”用于异常任务，“重试过账”用于过账失败，均由有权限的仓库管理员处理。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 </w:t>
      </w:r>
      <w:r>
        <w:rPr/>
        <w:t>销售状态和班次状态按《</w:t>
      </w:r>
      <w:r>
        <w:rPr/>
        <w:t xml:space="preserve">POS </w:t>
      </w:r>
      <w:r>
        <w:rPr/>
        <w:t xml:space="preserve">使用手册》核对；现场还款或打印完成情况不能由普通仓库任务状态推断。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同名状态必须结合单据类型解释：</w:t>
      </w:r>
      <w:r>
        <w:rPr/>
        <w:t xml:space="preserve">PDA </w:t>
      </w:r>
      <w:r>
        <w:rPr/>
        <w:t xml:space="preserve">退货 </w:t>
      </w:r>
      <w:r>
        <w:rPr>
          <w:rStyle w:val="SourceText"/>
        </w:rPr>
        <w:t>COMPLETED</w:t>
      </w:r>
      <w:r>
        <w:rPr/>
        <w:t xml:space="preserve"> </w:t>
      </w:r>
      <w:r>
        <w:rPr/>
        <w:t xml:space="preserve">已直接扣库；代办货权转移 </w:t>
      </w:r>
      <w:r>
        <w:rPr>
          <w:rStyle w:val="SourceText"/>
        </w:rPr>
        <w:t>RESERVED</w:t>
      </w:r>
      <w:r>
        <w:rPr/>
        <w:t xml:space="preserve"> </w:t>
      </w:r>
      <w:r>
        <w:rPr/>
        <w:t>是待转货，</w:t>
      </w:r>
      <w:r>
        <w:rPr>
          <w:rStyle w:val="SourceText"/>
        </w:rPr>
        <w:t>POSTED</w:t>
      </w:r>
      <w:r>
        <w:rPr/>
        <w:t xml:space="preserve"> </w:t>
      </w:r>
      <w:r>
        <w:rPr/>
        <w:t xml:space="preserve">是已转货并销售出库。不能套用普通任务的“已完成、待过账”结论。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17" w:name="section-18-异常处理与问题上报"/>
      <w:bookmarkEnd w:id="17"/>
      <w:r>
        <w:rPr/>
        <w:t>异常处理与问题上报</w:t>
      </w:r>
    </w:p>
    <w:p>
      <w:pPr>
        <w:pStyle w:val="Heading3"/>
        <w:bidi w:val="0"/>
        <w:ind w:hanging="0" w:start="0" w:end="0"/>
        <w:jc w:val="start"/>
        <w:rPr/>
      </w:pPr>
      <w:bookmarkStart w:id="18" w:name="section-19-无法登录或菜单缺失"/>
      <w:bookmarkEnd w:id="18"/>
      <w:r>
        <w:rPr/>
        <w:t>无法登录或菜单缺失</w:t>
      </w:r>
    </w:p>
    <w:p>
      <w:pPr>
        <w:pStyle w:val="BodyText"/>
        <w:bidi w:val="0"/>
        <w:jc w:val="start"/>
        <w:rPr/>
      </w:pPr>
      <w:r>
        <w:rPr/>
        <w:t xml:space="preserve">按“网络 → 正式入口 → 用户名和密码 → 账号启用状态 → 职员状态（仅 </w:t>
      </w:r>
      <w:r>
        <w:rPr/>
        <w:t xml:space="preserve">Web </w:t>
      </w:r>
      <w:r>
        <w:rPr/>
        <w:t>后台）→ 角色范围 → 规范角色组 → 功能开关及额外权限”的顺序检查。移库、补货等功能即使有角色权限，也可能尚未启用。登录过于频繁时按页面提示等待，由系统管理员检查账号和审计日志。</w:t>
      </w:r>
    </w:p>
    <w:p>
      <w:pPr>
        <w:pStyle w:val="Heading3"/>
        <w:bidi w:val="0"/>
        <w:ind w:hanging="0" w:start="0" w:end="0"/>
        <w:jc w:val="start"/>
        <w:rPr/>
      </w:pPr>
      <w:bookmarkStart w:id="19" w:name="section-20-数据为空或范围不正确"/>
      <w:bookmarkEnd w:id="19"/>
      <w:r>
        <w:rPr/>
        <w:t>数据为空或范围不正确</w:t>
      </w:r>
    </w:p>
    <w:p>
      <w:pPr>
        <w:pStyle w:val="BodyText"/>
        <w:bidi w:val="0"/>
        <w:jc w:val="start"/>
        <w:rPr/>
      </w:pPr>
      <w:r>
        <w:rPr/>
        <w:t>先清除筛选并刷新，再核对当前角色和货主</w:t>
      </w:r>
      <w:r>
        <w:rPr/>
        <w:t>/</w:t>
      </w:r>
      <w:r>
        <w:rPr/>
        <w:t>仓库范围。看到不属于本范围的数据时立即停止操作并上报，不得导出或转发。</w:t>
      </w:r>
    </w:p>
    <w:p>
      <w:pPr>
        <w:pStyle w:val="Heading3"/>
        <w:bidi w:val="0"/>
        <w:ind w:hanging="0" w:start="0" w:end="0"/>
        <w:jc w:val="start"/>
        <w:rPr/>
      </w:pPr>
      <w:bookmarkStart w:id="20" w:name="section-21-网络超时或重复提交提示"/>
      <w:bookmarkEnd w:id="20"/>
      <w:r>
        <w:rPr/>
        <w:t>网络超时或重复提交提示</w:t>
      </w:r>
    </w:p>
    <w:p>
      <w:pPr>
        <w:pStyle w:val="BodyText"/>
        <w:bidi w:val="0"/>
        <w:jc w:val="start"/>
        <w:rPr/>
      </w:pPr>
      <w:r>
        <w:rPr/>
        <w:t>不要连续点击。先回到列表按单号、任务号或平台单号查询；带幂等保护的操作可以使用同一请求重试，但不能改动内容后继续使用原请求标识。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移库、补货扫描结果未确认时，保留当前页的原库位、商品、容器、序列号和数量再试；提示“已确认此前扫描记录”表示恢复了原结果，不能再次搬货。离开页面后先查原任务再决定下一步。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收货与上架使用不同数量口径：普通商品有订单收货登记当前行累计数量，上架登记本次增量。重试前不要把累计数量当作新增数量再次录入。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 </w:t>
      </w:r>
      <w:r>
        <w:rPr/>
        <w:t>还款结果未确认时，回到原收银员、原仓库和原客户核对并恢复该笔还款；不能更换客户或金额当作新收款。具体步骤见《</w:t>
      </w:r>
      <w:r>
        <w:rPr/>
        <w:t xml:space="preserve">POS </w:t>
      </w:r>
      <w:r>
        <w:rPr/>
        <w:t xml:space="preserve">使用手册》。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PDA </w:t>
      </w:r>
      <w:r>
        <w:rPr/>
        <w:t xml:space="preserve">退货出库出现“继续确认结果”时，使用原账号、原仓库恢复原请求；冲销待确认也不能另建退货单抵消。跨货主代办同时按销售单号、转货单号和任务号查原结果。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Android </w:t>
      </w:r>
      <w:r>
        <w:rPr/>
        <w:t xml:space="preserve">拣货、收银或 </w:t>
      </w:r>
      <w:r>
        <w:rPr/>
        <w:t xml:space="preserve">POS </w:t>
      </w:r>
      <w:r>
        <w:rPr/>
        <w:t>退货出现待确认提示时，保留原设备本地数据，使用页面提供的原请求恢复按钮。不要清应用数据、修改原请求或换账号继续办理，具体区别见《</w:t>
      </w:r>
      <w:r>
        <w:rPr/>
        <w:t xml:space="preserve">Android </w:t>
      </w:r>
      <w:r>
        <w:rPr/>
        <w:t>移动端使用手册》和《</w:t>
      </w:r>
      <w:r>
        <w:rPr/>
        <w:t xml:space="preserve">POS </w:t>
      </w:r>
      <w:r>
        <w:rPr/>
        <w:t xml:space="preserve">使用手册》。 </w:t>
      </w:r>
    </w:p>
    <w:p>
      <w:pPr>
        <w:pStyle w:val="Heading3"/>
        <w:bidi w:val="0"/>
        <w:ind w:hanging="0" w:start="0" w:end="0"/>
        <w:jc w:val="start"/>
        <w:rPr/>
      </w:pPr>
      <w:bookmarkStart w:id="21" w:name="section-22-打印失败或打印页过期"/>
      <w:bookmarkEnd w:id="21"/>
      <w:r>
        <w:rPr/>
        <w:t>打印失败或打印页过期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先核对原单是否已成功保存或结账，保留单号。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从原收货任务、出库记录、</w:t>
      </w:r>
      <w:r>
        <w:rPr/>
        <w:t xml:space="preserve">POS </w:t>
      </w:r>
      <w:r>
        <w:rPr/>
        <w:t xml:space="preserve">销售单或班次记录重新点击打印；打印页过期时不要反复使用原链接。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浏览器阻止新窗口时，按设备提示允许本系统打开打印窗口，再从原记录重试。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打印已发起”不代表纸张已输出；核对打印机、纸张和实际份数。结账成功但打印失败时仅补打，不能重新结账。 </w:t>
      </w:r>
    </w:p>
    <w:p>
      <w:pPr>
        <w:pStyle w:val="Heading3"/>
        <w:bidi w:val="0"/>
        <w:ind w:hanging="0" w:start="0" w:end="0"/>
        <w:jc w:val="start"/>
        <w:rPr/>
      </w:pPr>
      <w:bookmarkStart w:id="22" w:name="section-23-移库-补货过账失败"/>
      <w:bookmarkEnd w:id="22"/>
      <w:r>
        <w:rPr/>
        <w:t>移库、补货过账失败</w:t>
      </w:r>
    </w:p>
    <w:p>
      <w:pPr>
        <w:pStyle w:val="BodyText"/>
        <w:bidi w:val="0"/>
        <w:jc w:val="start"/>
        <w:rPr/>
      </w:pPr>
      <w:r>
        <w:rPr/>
        <w:t>扫描数量已保存不代表库存已移动。保留原任务号、来源和目标库位、已搬数量及完整错误信息，交仓库管理员处理原任务；管理员修复原因后按权限重试过账，不能新建任务重复搬货或修改库存数。</w:t>
      </w:r>
    </w:p>
    <w:p>
      <w:pPr>
        <w:pStyle w:val="Heading3"/>
        <w:bidi w:val="0"/>
        <w:ind w:hanging="0" w:start="0" w:end="0"/>
        <w:jc w:val="start"/>
        <w:rPr/>
      </w:pPr>
      <w:bookmarkStart w:id="23" w:name="section-24-库存-任务或账单不一致"/>
      <w:bookmarkEnd w:id="23"/>
      <w:r>
        <w:rPr/>
        <w:t>库存、任务或账单不一致</w:t>
      </w:r>
    </w:p>
    <w:p>
      <w:pPr>
        <w:pStyle w:val="BodyText"/>
        <w:bidi w:val="0"/>
        <w:jc w:val="start"/>
        <w:rPr/>
      </w:pPr>
      <w:r>
        <w:rPr/>
        <w:t>保留页面截图和原始单号，按“业务单据 → 任务 → 扫描记录 → 过账状态 → 库存流水</w:t>
      </w:r>
      <w:r>
        <w:rPr/>
        <w:t>/</w:t>
      </w:r>
      <w:r>
        <w:rPr/>
        <w:t>计费来源”逐层核对。禁止通过删除记录或直接改汇总数掩盖差异。</w:t>
      </w:r>
    </w:p>
    <w:p>
      <w:pPr>
        <w:pStyle w:val="Heading3"/>
        <w:bidi w:val="0"/>
        <w:ind w:hanging="0" w:start="0" w:end="0"/>
        <w:jc w:val="start"/>
        <w:rPr/>
      </w:pPr>
      <w:bookmarkStart w:id="24" w:name="section-25-问题上报模板"/>
      <w:bookmarkEnd w:id="24"/>
      <w:r>
        <w:rPr/>
        <w:t>问题上报模板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上报人、角色、用户名：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发生时间和系统入口：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货主、仓库、客户：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订单号、任务号、平台单号或账期：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货主商品编码、批次、库位和数量：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当前状态、期望结果和实际结果：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完整错误提示：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是否发生实物移动、收付款或打印：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已执行的查询和重试：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截图或导出文件： </w:t>
      </w:r>
    </w:p>
    <w:p>
      <w:pPr>
        <w:pStyle w:val="Heading2"/>
        <w:bidi w:val="0"/>
        <w:ind w:hanging="0" w:start="0" w:end="0"/>
        <w:jc w:val="start"/>
        <w:rPr/>
      </w:pPr>
      <w:bookmarkStart w:id="25" w:name="section-26-日常自检与培训验收"/>
      <w:bookmarkEnd w:id="25"/>
      <w:r>
        <w:rPr/>
        <w:t>日常自检与培训验收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能使用本人账号登录、修改密码并正确退出。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能说明本角色的数据范围和禁止事项。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能完成本手册列出的核心业务流程。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能识别会改变库存或业务状态的高风险按钮。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遇到网络中断时会先查询原单，不重复建单。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能区分已保存、已过账和已打印，知道登录切换后必须重新核对业务范围。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能使用问题模板提交可追踪的异常信息。 </w:t>
      </w:r>
    </w:p>
    <w:p>
      <w:pPr>
        <w:pStyle w:val="Heading2"/>
        <w:bidi w:val="0"/>
        <w:ind w:hanging="0" w:start="0" w:end="0"/>
        <w:jc w:val="start"/>
        <w:rPr/>
      </w:pPr>
      <w:bookmarkStart w:id="26" w:name="section-27-专项手册与边界"/>
      <w:bookmarkEnd w:id="26"/>
      <w:r>
        <w:rPr/>
        <w:t>专项手册与边界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 </w:t>
      </w:r>
      <w:r>
        <w:rPr/>
        <w:t>收银、赊账、客户还款、退货、打印、交班和对账参见《</w:t>
      </w:r>
      <w:r>
        <w:rPr/>
        <w:t xml:space="preserve">POS </w:t>
      </w:r>
      <w:r>
        <w:rPr/>
        <w:t xml:space="preserve">使用手册》；只有取得相应 </w:t>
      </w:r>
      <w:r>
        <w:rPr/>
        <w:t xml:space="preserve">POS </w:t>
      </w:r>
      <w:r>
        <w:rPr/>
        <w:t xml:space="preserve">权限的账号才能使用。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仓库向货主</w:t>
      </w:r>
      <w:r>
        <w:rPr/>
        <w:t>/</w:t>
      </w:r>
      <w:r>
        <w:rPr/>
        <w:t>原供应商退货参见《</w:t>
      </w:r>
      <w:r>
        <w:rPr/>
        <w:t xml:space="preserve">PDA </w:t>
      </w:r>
      <w:r>
        <w:rPr/>
        <w:t>退货出库使用手册》；</w:t>
      </w:r>
      <w:r>
        <w:rPr/>
        <w:t xml:space="preserve">Android </w:t>
      </w:r>
      <w:r>
        <w:rPr/>
        <w:t>现场操作与原请求恢复参见《</w:t>
      </w:r>
      <w:r>
        <w:rPr/>
        <w:t xml:space="preserve">Android </w:t>
      </w:r>
      <w:r>
        <w:rPr/>
        <w:t xml:space="preserve">移动端使用手册》。功能以各客户端已注册页面和实际权限为准。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面向终端客户的商城参见《商城小程序使用教程》；商城买家不是本手册六类 </w:t>
      </w:r>
      <w:r>
        <w:rPr/>
        <w:t xml:space="preserve">WMS </w:t>
      </w:r>
      <w:r>
        <w:rPr/>
        <w:t xml:space="preserve">后台角色。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服务器部署、数据库备份恢复、域名证书、服务启停和版本回滚不属于普通用户手册。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没有已注册页面、有效权限和可验证业务闭环的功能，不作为正式可用能力发布。 </w:t>
      </w:r>
    </w:p>
    <w:p>
      <w:pPr>
        <w:pStyle w:val="Heading2"/>
        <w:bidi w:val="0"/>
        <w:ind w:hanging="0" w:start="0" w:end="0"/>
        <w:jc w:val="start"/>
        <w:rPr/>
      </w:pPr>
      <w:bookmarkStart w:id="27" w:name="section-28-文档修订记录"/>
      <w:bookmarkEnd w:id="27"/>
      <w:r>
        <w:rPr/>
        <w:t>文档修订记录</w:t>
      </w:r>
    </w:p>
    <w:tbl>
      <w:tblPr>
        <w:tblW w:w="10050" w:type="dxa"/>
        <w:jc w:val="start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545"/>
        <w:gridCol w:w="884"/>
        <w:gridCol w:w="8621"/>
      </w:tblGrid>
      <w:tr>
        <w:trPr>
          <w:tblHeader w:val="true"/>
        </w:trPr>
        <w:tc>
          <w:tcPr>
            <w:tcW w:w="545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版本</w:t>
            </w:r>
          </w:p>
        </w:tc>
        <w:tc>
          <w:tcPr>
            <w:tcW w:w="88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日期</w:t>
            </w:r>
          </w:p>
        </w:tc>
        <w:tc>
          <w:tcPr>
            <w:tcW w:w="8621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说明</w:t>
            </w:r>
          </w:p>
        </w:tc>
      </w:tr>
      <w:tr>
        <w:trPr/>
        <w:tc>
          <w:tcPr>
            <w:tcW w:w="545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V2.2</w:t>
            </w:r>
          </w:p>
        </w:tc>
        <w:tc>
          <w:tcPr>
            <w:tcW w:w="88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2026-10-17</w:t>
            </w:r>
          </w:p>
        </w:tc>
        <w:tc>
          <w:tcPr>
            <w:tcW w:w="8621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>补齐共享客户、代办转货、</w:t>
            </w:r>
            <w:r>
              <w:rPr>
                <w:sz w:val="18"/>
              </w:rPr>
              <w:t xml:space="preserve">PDA </w:t>
            </w:r>
            <w:r>
              <w:rPr>
                <w:sz w:val="18"/>
              </w:rPr>
              <w:t xml:space="preserve">退货出库、商品导入自动收货与导出；区分 </w:t>
            </w:r>
            <w:r>
              <w:rPr>
                <w:sz w:val="18"/>
              </w:rPr>
              <w:t xml:space="preserve">Android/PDA </w:t>
            </w:r>
            <w:r>
              <w:rPr>
                <w:sz w:val="18"/>
              </w:rPr>
              <w:t>收银库存和恢复能力，更新老板筛选及计费口径</w:t>
            </w:r>
          </w:p>
        </w:tc>
      </w:tr>
      <w:tr>
        <w:trPr/>
        <w:tc>
          <w:tcPr>
            <w:tcW w:w="545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V2.1</w:t>
            </w:r>
          </w:p>
        </w:tc>
        <w:tc>
          <w:tcPr>
            <w:tcW w:w="88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2026-09-07</w:t>
            </w:r>
          </w:p>
        </w:tc>
        <w:tc>
          <w:tcPr>
            <w:tcW w:w="8621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按当前工作区（含未提交改动）更新收货上架、移库补货、商品建档、登录恢复、打印和财务核对；功能启用及设备使用以实际部署为准</w:t>
            </w:r>
          </w:p>
        </w:tc>
      </w:tr>
      <w:tr>
        <w:trPr/>
        <w:tc>
          <w:tcPr>
            <w:tcW w:w="545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V2.0</w:t>
            </w:r>
          </w:p>
        </w:tc>
        <w:tc>
          <w:tcPr>
            <w:tcW w:w="88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2026-08-04</w:t>
            </w:r>
          </w:p>
        </w:tc>
        <w:tc>
          <w:tcPr>
            <w:tcW w:w="8621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18"/>
              </w:rPr>
            </w:pPr>
            <w:r>
              <w:rPr>
                <w:sz w:val="18"/>
              </w:rPr>
              <w:t>按当前代码、权限和客户端契约拆分角色手册并修订业务流程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</w:r>
    </w:p>
    <w:sectPr>
      <w:type w:val="nextPage"/>
      <w:pgSz w:w="12240" w:h="15840"/>
      <w:pgMar w:left="907" w:right="907" w:gutter="0" w:header="0" w:top="1020" w:footer="0" w:bottom="1077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408"/>
    </w:pPr>
    <w:rPr>
      <w:rFonts w:ascii="Liberation Serif" w:hAnsi="Liberation Serif" w:eastAsia="Noto Serif CJK SC" w:cs="Noto Sans Devanagari"/>
      <w:color w:val="auto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image" Target="media/manual-image-1.png" /><Relationship Id="rId3" Type="http://schemas.openxmlformats.org/officeDocument/2006/relationships/numbering" Target="numbering.xml" /><Relationship Id="rId4" Type="http://schemas.openxmlformats.org/officeDocument/2006/relationships/fontTable" Target="fontTable.xml" /><Relationship Id="rId5" Type="http://schemas.openxmlformats.org/officeDocument/2006/relationships/settings" Target="settings.xml" /><Relationship Id="rId6" Type="http://schemas.openxmlformats.org/officeDocument/2006/relationships/theme" Target="theme/theme1.xml" 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金桥融通WMS货主管理员操作手册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