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auto"/>
        <w:jc w:val="center"/>
      </w:pPr>
      <w:r>
        <w:rPr>
          <w:rFonts w:ascii="Times New Roman" w:hAnsi="Times New Roman"/>
          <w:b/>
          <w:i w:val="0"/>
          <w:sz w:val="24"/>
        </w:rPr>
        <w:t>UNIVERSITY OF CAPE COAST</w:t>
      </w:r>
    </w:p>
    <w:p>
      <w:pPr>
        <w:spacing w:after="40" w:before="0" w:line="360" w:lineRule="auto"/>
        <w:jc w:val="center"/>
      </w:pPr>
      <w:r>
        <w:rPr>
          <w:rFonts w:ascii="Times New Roman" w:hAnsi="Times New Roman"/>
          <w:b/>
          <w:i w:val="0"/>
          <w:sz w:val="24"/>
        </w:rPr>
        <w:t>COLLEGE OF AGRICULTURE AND NATURAL SCIENCES</w:t>
      </w:r>
    </w:p>
    <w:p>
      <w:pPr>
        <w:spacing w:after="40" w:before="0" w:line="360" w:lineRule="auto"/>
        <w:jc w:val="center"/>
      </w:pPr>
      <w:r>
        <w:rPr>
          <w:rFonts w:ascii="Times New Roman" w:hAnsi="Times New Roman"/>
          <w:b/>
          <w:i w:val="0"/>
          <w:sz w:val="24"/>
        </w:rPr>
        <w:t>SCHOOL OF PHYSICAL SCIENCES</w:t>
      </w:r>
    </w:p>
    <w:p>
      <w:pPr>
        <w:spacing w:after="40" w:before="0" w:line="360" w:lineRule="auto"/>
        <w:jc w:val="center"/>
      </w:pPr>
      <w:r>
        <w:rPr>
          <w:rFonts w:ascii="Times New Roman" w:hAnsi="Times New Roman"/>
          <w:b/>
          <w:i w:val="0"/>
          <w:sz w:val="24"/>
        </w:rPr>
        <w:t>DEPARTMENT OF COMPUTER SCIENCE AND INFORMATION TECHNOLOGY</w:t>
      </w:r>
    </w:p>
    <w:p>
      <w:pPr>
        <w:spacing w:after="120" w:before="0" w:line="360" w:lineRule="auto"/>
        <w:jc w:val="both"/>
      </w:pPr>
      <w:r>
        <w:rPr>
          <w:rFonts w:ascii="Times New Roman" w:hAnsi="Times New Roman"/>
          <w:b w:val="0"/>
          <w:i w:val="0"/>
          <w:sz w:val="24"/>
        </w:rPr>
      </w:r>
    </w:p>
    <w:p>
      <w:pPr>
        <w:spacing w:after="80" w:before="0" w:line="360" w:lineRule="auto"/>
        <w:jc w:val="center"/>
      </w:pPr>
      <w:r>
        <w:rPr>
          <w:rFonts w:ascii="Times New Roman" w:hAnsi="Times New Roman"/>
          <w:b/>
          <w:i w:val="0"/>
          <w:sz w:val="24"/>
        </w:rPr>
        <w:t>TITLE:</w:t>
      </w:r>
    </w:p>
    <w:p>
      <w:pPr>
        <w:spacing w:after="200" w:before="0" w:line="360" w:lineRule="auto"/>
        <w:jc w:val="center"/>
      </w:pPr>
      <w:r>
        <w:rPr>
          <w:rFonts w:ascii="Times New Roman" w:hAnsi="Times New Roman"/>
          <w:b/>
          <w:i w:val="0"/>
          <w:sz w:val="24"/>
        </w:rPr>
        <w:t>A GAMIFIED ADAPTIVE LEARNING PLATFORM FOR PRIMARY SCHOOL STUDENTS</w:t>
      </w:r>
    </w:p>
    <w:p>
      <w:pPr>
        <w:spacing w:after="240" w:before="0" w:line="360" w:lineRule="auto"/>
        <w:jc w:val="center"/>
      </w:pPr>
      <w:r>
        <w:rPr>
          <w:rFonts w:ascii="Times New Roman" w:hAnsi="Times New Roman"/>
          <w:b/>
          <w:i w:val="0"/>
          <w:sz w:val="24"/>
        </w:rPr>
        <w:t>CHAPTER 4: RESULTS AND DISCUSSION</w:t>
      </w:r>
    </w:p>
    <w:p>
      <w:pPr>
        <w:spacing w:after="40" w:before="0" w:line="360" w:lineRule="auto"/>
        <w:jc w:val="center"/>
      </w:pPr>
      <w:r>
        <w:rPr>
          <w:rFonts w:ascii="Times New Roman" w:hAnsi="Times New Roman"/>
          <w:b/>
          <w:i w:val="0"/>
          <w:sz w:val="24"/>
        </w:rPr>
        <w:t>SUPERVISOR:</w:t>
      </w:r>
    </w:p>
    <w:p>
      <w:pPr>
        <w:spacing w:after="200" w:before="0" w:line="360" w:lineRule="auto"/>
        <w:jc w:val="center"/>
      </w:pPr>
      <w:r>
        <w:rPr>
          <w:rFonts w:ascii="Times New Roman" w:hAnsi="Times New Roman"/>
          <w:b w:val="0"/>
          <w:i w:val="0"/>
          <w:sz w:val="24"/>
        </w:rPr>
        <w:t>DR. REGINA TURKSON</w:t>
      </w:r>
    </w:p>
    <w:p>
      <w:pPr>
        <w:spacing w:after="80" w:before="0" w:line="360" w:lineRule="auto"/>
        <w:jc w:val="center"/>
      </w:pPr>
      <w:r>
        <w:rPr>
          <w:rFonts w:ascii="Times New Roman" w:hAnsi="Times New Roman"/>
          <w:b/>
          <w:i w:val="0"/>
          <w:sz w:val="24"/>
        </w:rPr>
        <w:t>GROUP MEMBERS:</w:t>
      </w:r>
    </w:p>
    <w:p>
      <w:pPr>
        <w:spacing w:after="40" w:before="0" w:line="360" w:lineRule="auto"/>
        <w:jc w:val="center"/>
      </w:pPr>
      <w:r>
        <w:rPr>
          <w:rFonts w:ascii="Times New Roman" w:hAnsi="Times New Roman"/>
          <w:b w:val="0"/>
          <w:i w:val="0"/>
          <w:sz w:val="24"/>
        </w:rPr>
        <w:t>PS/CSC/22/0228 — OMABOE KELVIN</w:t>
      </w:r>
    </w:p>
    <w:p>
      <w:pPr>
        <w:spacing w:after="40" w:before="0" w:line="360" w:lineRule="auto"/>
        <w:jc w:val="center"/>
      </w:pPr>
      <w:r>
        <w:rPr>
          <w:rFonts w:ascii="Times New Roman" w:hAnsi="Times New Roman"/>
          <w:b w:val="0"/>
          <w:i w:val="0"/>
          <w:sz w:val="24"/>
        </w:rPr>
        <w:t>PS/CSC/22/0046 — KUMI HENRIETTA</w:t>
      </w:r>
    </w:p>
    <w:p>
      <w:pPr>
        <w:spacing w:after="40" w:before="0" w:line="360" w:lineRule="auto"/>
        <w:jc w:val="center"/>
      </w:pPr>
      <w:r>
        <w:rPr>
          <w:rFonts w:ascii="Times New Roman" w:hAnsi="Times New Roman"/>
          <w:b w:val="0"/>
          <w:i w:val="0"/>
          <w:sz w:val="24"/>
        </w:rPr>
        <w:t>PS/CSC/22/0146 — SAM ASSEFUAH FRANCIS</w:t>
      </w:r>
    </w:p>
    <w:p>
      <w:pPr>
        <w:spacing w:after="40" w:before="0" w:line="360" w:lineRule="auto"/>
        <w:jc w:val="center"/>
      </w:pPr>
      <w:r>
        <w:rPr>
          <w:rFonts w:ascii="Times New Roman" w:hAnsi="Times New Roman"/>
          <w:b w:val="0"/>
          <w:i w:val="0"/>
          <w:sz w:val="24"/>
        </w:rPr>
        <w:t>PS/CSC/22/0216 — BAIDOO KWAMINA FELIX</w:t>
      </w:r>
    </w:p>
    <w:p>
      <w:pPr>
        <w:spacing w:after="40" w:before="0" w:line="360" w:lineRule="auto"/>
        <w:jc w:val="center"/>
      </w:pPr>
      <w:r>
        <w:rPr>
          <w:rFonts w:ascii="Times New Roman" w:hAnsi="Times New Roman"/>
          <w:b w:val="0"/>
          <w:i w:val="0"/>
          <w:sz w:val="24"/>
        </w:rPr>
        <w:t>PS/CSC/22/0221 — BLUKOO NAYRAM KAREN</w:t>
      </w:r>
    </w:p>
    <w:p>
      <w:r>
        <w:br w:type="page"/>
      </w:r>
    </w:p>
    <w:p>
      <w:pPr>
        <w:spacing w:before="360" w:after="200" w:line="360" w:lineRule="auto"/>
        <w:ind w:firstLine="0"/>
        <w:jc w:val="left"/>
      </w:pPr>
      <w:r>
        <w:rPr>
          <w:rFonts w:ascii="Times New Roman" w:hAnsi="Times New Roman"/>
          <w:b/>
          <w:i w:val="0"/>
          <w:sz w:val="28"/>
        </w:rPr>
        <w:t>CHAPTER 4</w:t>
      </w:r>
    </w:p>
    <w:p>
      <w:pPr>
        <w:spacing w:before="360" w:after="200" w:line="360" w:lineRule="auto"/>
        <w:ind w:firstLine="0"/>
        <w:jc w:val="left"/>
      </w:pPr>
      <w:r>
        <w:rPr>
          <w:rFonts w:ascii="Times New Roman" w:hAnsi="Times New Roman"/>
          <w:b/>
          <w:i w:val="0"/>
          <w:sz w:val="28"/>
        </w:rPr>
        <w:t>RESULTS AND DISCUSSION</w:t>
      </w:r>
    </w:p>
    <w:p>
      <w:pPr>
        <w:spacing w:before="280" w:after="200" w:line="360" w:lineRule="auto"/>
        <w:ind w:firstLine="0"/>
        <w:jc w:val="left"/>
      </w:pPr>
      <w:r>
        <w:rPr>
          <w:rFonts w:ascii="Times New Roman" w:hAnsi="Times New Roman"/>
          <w:b/>
          <w:i w:val="0"/>
          <w:sz w:val="24"/>
        </w:rPr>
        <w:t>4.1 Introduction</w:t>
      </w:r>
    </w:p>
    <w:p>
      <w:pPr>
        <w:spacing w:after="160" w:before="0" w:line="360" w:lineRule="auto"/>
        <w:ind w:firstLine="720"/>
        <w:jc w:val="both"/>
      </w:pPr>
      <w:r>
        <w:rPr>
          <w:rFonts w:ascii="Times New Roman" w:hAnsi="Times New Roman"/>
          <w:b w:val="0"/>
          <w:i w:val="0"/>
          <w:sz w:val="24"/>
        </w:rPr>
        <w:t>This chapter reports what we found after evaluating SkulKid with primary school pupils in the Central Region of Ghana. SkulKid is a web-based learning platform built for Basic 4–6 learners. It combines ordinary lesson practice with gamification (XP, stars, levels, streaks, achievements, daily quests) and a classroom layer where teachers can set quizzes, follow progress, and encourage learners through class chat, shout-outs, and weekly helper recognition. Progression through lessons is rule-based: a child’s quiz score decides whether the next lesson unlocks, whether extra practice is suggested, or whether the current lesson must be revised first.</w:t>
      </w:r>
    </w:p>
    <w:p>
      <w:pPr>
        <w:spacing w:after="160" w:before="0" w:line="360" w:lineRule="auto"/>
        <w:ind w:firstLine="720"/>
        <w:jc w:val="both"/>
      </w:pPr>
      <w:r>
        <w:rPr>
          <w:rFonts w:ascii="Times New Roman" w:hAnsi="Times New Roman"/>
          <w:b w:val="0"/>
          <w:i w:val="0"/>
          <w:sz w:val="24"/>
        </w:rPr>
        <w:t>The evaluation was a one-week classroom observation across three schools. We used a quasi-experimental design with an experimental group (SkulKid) and a control group (normal classroom teaching). Pre-tests were written at the start of the week and post-tests at the end. Alongside the tests we collected platform activity logs for the experimental group, a student questionnaire, and a short teacher feedback form. The sections below follow the research questions from Chapter 1. Where classroom features such as PASCO practice, timed challenges, Helper of the Week, teacher XP bonuses, and message reactions were part of the deployed system, we report the log and teacher observations that relate to them.</w:t>
      </w:r>
    </w:p>
    <w:p>
      <w:pPr>
        <w:spacing w:before="280" w:after="200" w:line="360" w:lineRule="auto"/>
        <w:ind w:firstLine="0"/>
        <w:jc w:val="left"/>
      </w:pPr>
      <w:r>
        <w:rPr>
          <w:rFonts w:ascii="Times New Roman" w:hAnsi="Times New Roman"/>
          <w:b/>
          <w:i w:val="0"/>
          <w:sz w:val="24"/>
        </w:rPr>
        <w:t>4.2 Participant Characteristics and Sample Profile</w:t>
      </w:r>
    </w:p>
    <w:p>
      <w:pPr>
        <w:spacing w:after="160" w:before="0" w:line="360" w:lineRule="auto"/>
        <w:ind w:firstLine="720"/>
        <w:jc w:val="both"/>
      </w:pPr>
      <w:r>
        <w:rPr>
          <w:rFonts w:ascii="Times New Roman" w:hAnsi="Times New Roman"/>
          <w:b w:val="0"/>
          <w:i w:val="0"/>
          <w:sz w:val="24"/>
        </w:rPr>
        <w:t>One hundred and thirty-four pupils started the study. Sixty-seven used SkulKid and sixty-seven stayed with regular instruction. By the end of the observation week, 128 pupils had complete records (64 per group). That is a completion rate of 95.5%. Six pupils were dropped from the final analysis: three in the experimental group who missed more than two scheduled sessions, and three in the control group with incomplete post-test scripts.</w:t>
      </w:r>
    </w:p>
    <w:p>
      <w:pPr>
        <w:spacing w:after="120" w:before="200" w:line="360" w:lineRule="auto"/>
        <w:jc w:val="center"/>
      </w:pPr>
      <w:r>
        <w:rPr>
          <w:rFonts w:ascii="Times New Roman" w:hAnsi="Times New Roman"/>
          <w:b/>
          <w:i w:val="0"/>
          <w:sz w:val="22"/>
        </w:rPr>
        <w:t>Table 4.1: Participant characteristics by group</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
              <w:rPr>
                <w:rFonts w:ascii="Times New Roman" w:hAnsi="Times New Roman"/>
                <w:b/>
                <w:i w:val="0"/>
                <w:sz w:val="20"/>
              </w:rPr>
              <w:t>Characteristic</w:t>
            </w:r>
          </w:p>
        </w:tc>
        <w:tc>
          <w:tcPr>
            <w:tcW w:type="dxa" w:w="2250"/>
          </w:tcPr>
          <w:p>
            <w:pPr>
              <w:jc w:val="center"/>
            </w:pPr>
            <w:r/>
            <w:r>
              <w:rPr>
                <w:rFonts w:ascii="Times New Roman" w:hAnsi="Times New Roman"/>
                <w:b/>
                <w:i w:val="0"/>
                <w:sz w:val="20"/>
              </w:rPr>
              <w:t>Experimental (n = 64)</w:t>
            </w:r>
          </w:p>
        </w:tc>
        <w:tc>
          <w:tcPr>
            <w:tcW w:type="dxa" w:w="2250"/>
          </w:tcPr>
          <w:p>
            <w:pPr>
              <w:jc w:val="center"/>
            </w:pPr>
            <w:r/>
            <w:r>
              <w:rPr>
                <w:rFonts w:ascii="Times New Roman" w:hAnsi="Times New Roman"/>
                <w:b/>
                <w:i w:val="0"/>
                <w:sz w:val="20"/>
              </w:rPr>
              <w:t>Control (n = 64)</w:t>
            </w:r>
          </w:p>
        </w:tc>
        <w:tc>
          <w:tcPr>
            <w:tcW w:type="dxa" w:w="2250"/>
          </w:tcPr>
          <w:p>
            <w:pPr>
              <w:jc w:val="center"/>
            </w:pPr>
            <w:r/>
            <w:r>
              <w:rPr>
                <w:rFonts w:ascii="Times New Roman" w:hAnsi="Times New Roman"/>
                <w:b/>
                <w:i w:val="0"/>
                <w:sz w:val="20"/>
              </w:rPr>
              <w:t>Total (N = 128)</w:t>
            </w:r>
          </w:p>
        </w:tc>
      </w:tr>
      <w:tr>
        <w:tc>
          <w:tcPr>
            <w:tcW w:type="dxa" w:w="2250"/>
          </w:tcPr>
          <w:p>
            <w:pPr>
              <w:jc w:val="center"/>
            </w:pPr>
            <w:r/>
            <w:r>
              <w:rPr>
                <w:rFonts w:ascii="Times New Roman" w:hAnsi="Times New Roman"/>
                <w:b w:val="0"/>
                <w:i w:val="0"/>
                <w:sz w:val="20"/>
              </w:rPr>
              <w:t>Male</w:t>
            </w:r>
          </w:p>
        </w:tc>
        <w:tc>
          <w:tcPr>
            <w:tcW w:type="dxa" w:w="2250"/>
          </w:tcPr>
          <w:p>
            <w:pPr>
              <w:jc w:val="center"/>
            </w:pPr>
            <w:r/>
            <w:r>
              <w:rPr>
                <w:rFonts w:ascii="Times New Roman" w:hAnsi="Times New Roman"/>
                <w:b w:val="0"/>
                <w:i w:val="0"/>
                <w:sz w:val="20"/>
              </w:rPr>
              <w:t>33 (51.6%)</w:t>
            </w:r>
          </w:p>
        </w:tc>
        <w:tc>
          <w:tcPr>
            <w:tcW w:type="dxa" w:w="2250"/>
          </w:tcPr>
          <w:p>
            <w:pPr>
              <w:jc w:val="center"/>
            </w:pPr>
            <w:r/>
            <w:r>
              <w:rPr>
                <w:rFonts w:ascii="Times New Roman" w:hAnsi="Times New Roman"/>
                <w:b w:val="0"/>
                <w:i w:val="0"/>
                <w:sz w:val="20"/>
              </w:rPr>
              <w:t>31 (48.4%)</w:t>
            </w:r>
          </w:p>
        </w:tc>
        <w:tc>
          <w:tcPr>
            <w:tcW w:type="dxa" w:w="2250"/>
          </w:tcPr>
          <w:p>
            <w:pPr>
              <w:jc w:val="center"/>
            </w:pPr>
            <w:r/>
            <w:r>
              <w:rPr>
                <w:rFonts w:ascii="Times New Roman" w:hAnsi="Times New Roman"/>
                <w:b w:val="0"/>
                <w:i w:val="0"/>
                <w:sz w:val="20"/>
              </w:rPr>
              <w:t>64 (50.0%)</w:t>
            </w:r>
          </w:p>
        </w:tc>
      </w:tr>
      <w:tr>
        <w:tc>
          <w:tcPr>
            <w:tcW w:type="dxa" w:w="2250"/>
          </w:tcPr>
          <w:p>
            <w:pPr>
              <w:jc w:val="center"/>
            </w:pPr>
            <w:r/>
            <w:r>
              <w:rPr>
                <w:rFonts w:ascii="Times New Roman" w:hAnsi="Times New Roman"/>
                <w:b w:val="0"/>
                <w:i w:val="0"/>
                <w:sz w:val="20"/>
              </w:rPr>
              <w:t>Female</w:t>
            </w:r>
          </w:p>
        </w:tc>
        <w:tc>
          <w:tcPr>
            <w:tcW w:type="dxa" w:w="2250"/>
          </w:tcPr>
          <w:p>
            <w:pPr>
              <w:jc w:val="center"/>
            </w:pPr>
            <w:r/>
            <w:r>
              <w:rPr>
                <w:rFonts w:ascii="Times New Roman" w:hAnsi="Times New Roman"/>
                <w:b w:val="0"/>
                <w:i w:val="0"/>
                <w:sz w:val="20"/>
              </w:rPr>
              <w:t>31 (48.4%)</w:t>
            </w:r>
          </w:p>
        </w:tc>
        <w:tc>
          <w:tcPr>
            <w:tcW w:type="dxa" w:w="2250"/>
          </w:tcPr>
          <w:p>
            <w:pPr>
              <w:jc w:val="center"/>
            </w:pPr>
            <w:r/>
            <w:r>
              <w:rPr>
                <w:rFonts w:ascii="Times New Roman" w:hAnsi="Times New Roman"/>
                <w:b w:val="0"/>
                <w:i w:val="0"/>
                <w:sz w:val="20"/>
              </w:rPr>
              <w:t>33 (51.6%)</w:t>
            </w:r>
          </w:p>
        </w:tc>
        <w:tc>
          <w:tcPr>
            <w:tcW w:type="dxa" w:w="2250"/>
          </w:tcPr>
          <w:p>
            <w:pPr>
              <w:jc w:val="center"/>
            </w:pPr>
            <w:r/>
            <w:r>
              <w:rPr>
                <w:rFonts w:ascii="Times New Roman" w:hAnsi="Times New Roman"/>
                <w:b w:val="0"/>
                <w:i w:val="0"/>
                <w:sz w:val="20"/>
              </w:rPr>
              <w:t>64 (50.0%)</w:t>
            </w:r>
          </w:p>
        </w:tc>
      </w:tr>
      <w:tr>
        <w:tc>
          <w:tcPr>
            <w:tcW w:type="dxa" w:w="2250"/>
          </w:tcPr>
          <w:p>
            <w:pPr>
              <w:jc w:val="center"/>
            </w:pPr>
            <w:r/>
            <w:r>
              <w:rPr>
                <w:rFonts w:ascii="Times New Roman" w:hAnsi="Times New Roman"/>
                <w:b w:val="0"/>
                <w:i w:val="0"/>
                <w:sz w:val="20"/>
              </w:rPr>
              <w:t>Primary 4</w:t>
            </w:r>
          </w:p>
        </w:tc>
        <w:tc>
          <w:tcPr>
            <w:tcW w:type="dxa" w:w="2250"/>
          </w:tcPr>
          <w:p>
            <w:pPr>
              <w:jc w:val="center"/>
            </w:pPr>
            <w:r/>
            <w:r>
              <w:rPr>
                <w:rFonts w:ascii="Times New Roman" w:hAnsi="Times New Roman"/>
                <w:b w:val="0"/>
                <w:i w:val="0"/>
                <w:sz w:val="20"/>
              </w:rPr>
              <w:t>32 (50.0%)</w:t>
            </w:r>
          </w:p>
        </w:tc>
        <w:tc>
          <w:tcPr>
            <w:tcW w:type="dxa" w:w="2250"/>
          </w:tcPr>
          <w:p>
            <w:pPr>
              <w:jc w:val="center"/>
            </w:pPr>
            <w:r/>
            <w:r>
              <w:rPr>
                <w:rFonts w:ascii="Times New Roman" w:hAnsi="Times New Roman"/>
                <w:b w:val="0"/>
                <w:i w:val="0"/>
                <w:sz w:val="20"/>
              </w:rPr>
              <w:t>32 (50.0%)</w:t>
            </w:r>
          </w:p>
        </w:tc>
        <w:tc>
          <w:tcPr>
            <w:tcW w:type="dxa" w:w="2250"/>
          </w:tcPr>
          <w:p>
            <w:pPr>
              <w:jc w:val="center"/>
            </w:pPr>
            <w:r/>
            <w:r>
              <w:rPr>
                <w:rFonts w:ascii="Times New Roman" w:hAnsi="Times New Roman"/>
                <w:b w:val="0"/>
                <w:i w:val="0"/>
                <w:sz w:val="20"/>
              </w:rPr>
              <w:t>64 (50.0%)</w:t>
            </w:r>
          </w:p>
        </w:tc>
      </w:tr>
      <w:tr>
        <w:tc>
          <w:tcPr>
            <w:tcW w:type="dxa" w:w="2250"/>
          </w:tcPr>
          <w:p>
            <w:pPr>
              <w:jc w:val="center"/>
            </w:pPr>
            <w:r/>
            <w:r>
              <w:rPr>
                <w:rFonts w:ascii="Times New Roman" w:hAnsi="Times New Roman"/>
                <w:b w:val="0"/>
                <w:i w:val="0"/>
                <w:sz w:val="20"/>
              </w:rPr>
              <w:t>Primary 5</w:t>
            </w:r>
          </w:p>
        </w:tc>
        <w:tc>
          <w:tcPr>
            <w:tcW w:type="dxa" w:w="2250"/>
          </w:tcPr>
          <w:p>
            <w:pPr>
              <w:jc w:val="center"/>
            </w:pPr>
            <w:r/>
            <w:r>
              <w:rPr>
                <w:rFonts w:ascii="Times New Roman" w:hAnsi="Times New Roman"/>
                <w:b w:val="0"/>
                <w:i w:val="0"/>
                <w:sz w:val="20"/>
              </w:rPr>
              <w:t>32 (50.0%)</w:t>
            </w:r>
          </w:p>
        </w:tc>
        <w:tc>
          <w:tcPr>
            <w:tcW w:type="dxa" w:w="2250"/>
          </w:tcPr>
          <w:p>
            <w:pPr>
              <w:jc w:val="center"/>
            </w:pPr>
            <w:r/>
            <w:r>
              <w:rPr>
                <w:rFonts w:ascii="Times New Roman" w:hAnsi="Times New Roman"/>
                <w:b w:val="0"/>
                <w:i w:val="0"/>
                <w:sz w:val="20"/>
              </w:rPr>
              <w:t>32 (50.0%)</w:t>
            </w:r>
          </w:p>
        </w:tc>
        <w:tc>
          <w:tcPr>
            <w:tcW w:type="dxa" w:w="2250"/>
          </w:tcPr>
          <w:p>
            <w:pPr>
              <w:jc w:val="center"/>
            </w:pPr>
            <w:r/>
            <w:r>
              <w:rPr>
                <w:rFonts w:ascii="Times New Roman" w:hAnsi="Times New Roman"/>
                <w:b w:val="0"/>
                <w:i w:val="0"/>
                <w:sz w:val="20"/>
              </w:rPr>
              <w:t>64 (50.0%)</w:t>
            </w:r>
          </w:p>
        </w:tc>
      </w:tr>
      <w:tr>
        <w:tc>
          <w:tcPr>
            <w:tcW w:type="dxa" w:w="2250"/>
          </w:tcPr>
          <w:p>
            <w:pPr>
              <w:jc w:val="center"/>
            </w:pPr>
            <w:r/>
            <w:r>
              <w:rPr>
                <w:rFonts w:ascii="Times New Roman" w:hAnsi="Times New Roman"/>
                <w:b w:val="0"/>
                <w:i w:val="0"/>
                <w:sz w:val="20"/>
              </w:rPr>
              <w:t>Mean age (years)</w:t>
            </w:r>
          </w:p>
        </w:tc>
        <w:tc>
          <w:tcPr>
            <w:tcW w:type="dxa" w:w="2250"/>
          </w:tcPr>
          <w:p>
            <w:pPr>
              <w:jc w:val="center"/>
            </w:pPr>
            <w:r/>
            <w:r>
              <w:rPr>
                <w:rFonts w:ascii="Times New Roman" w:hAnsi="Times New Roman"/>
                <w:b w:val="0"/>
                <w:i w:val="0"/>
                <w:sz w:val="20"/>
              </w:rPr>
              <w:t>10.2 (SD = 0.84)</w:t>
            </w:r>
          </w:p>
        </w:tc>
        <w:tc>
          <w:tcPr>
            <w:tcW w:type="dxa" w:w="2250"/>
          </w:tcPr>
          <w:p>
            <w:pPr>
              <w:jc w:val="center"/>
            </w:pPr>
            <w:r/>
            <w:r>
              <w:rPr>
                <w:rFonts w:ascii="Times New Roman" w:hAnsi="Times New Roman"/>
                <w:b w:val="0"/>
                <w:i w:val="0"/>
                <w:sz w:val="20"/>
              </w:rPr>
              <w:t>10.1 (SD = 0.91)</w:t>
            </w:r>
          </w:p>
        </w:tc>
        <w:tc>
          <w:tcPr>
            <w:tcW w:type="dxa" w:w="2250"/>
          </w:tcPr>
          <w:p>
            <w:pPr>
              <w:jc w:val="center"/>
            </w:pPr>
            <w:r/>
            <w:r>
              <w:rPr>
                <w:rFonts w:ascii="Times New Roman" w:hAnsi="Times New Roman"/>
                <w:b w:val="0"/>
                <w:i w:val="0"/>
                <w:sz w:val="20"/>
              </w:rPr>
              <w:t>10.15 (SD = 0.87)</w:t>
            </w:r>
          </w:p>
        </w:tc>
      </w:tr>
      <w:tr>
        <w:tc>
          <w:tcPr>
            <w:tcW w:type="dxa" w:w="2250"/>
          </w:tcPr>
          <w:p>
            <w:pPr>
              <w:jc w:val="center"/>
            </w:pPr>
            <w:r/>
            <w:r>
              <w:rPr>
                <w:rFonts w:ascii="Times New Roman" w:hAnsi="Times New Roman"/>
                <w:b w:val="0"/>
                <w:i w:val="0"/>
                <w:sz w:val="20"/>
              </w:rPr>
              <w:t>Prior device experience</w:t>
            </w:r>
          </w:p>
        </w:tc>
        <w:tc>
          <w:tcPr>
            <w:tcW w:type="dxa" w:w="2250"/>
          </w:tcPr>
          <w:p>
            <w:pPr>
              <w:jc w:val="center"/>
            </w:pPr>
            <w:r/>
            <w:r>
              <w:rPr>
                <w:rFonts w:ascii="Times New Roman" w:hAnsi="Times New Roman"/>
                <w:b w:val="0"/>
                <w:i w:val="0"/>
                <w:sz w:val="20"/>
              </w:rPr>
              <w:t>58 (90.6%)</w:t>
            </w:r>
          </w:p>
        </w:tc>
        <w:tc>
          <w:tcPr>
            <w:tcW w:type="dxa" w:w="2250"/>
          </w:tcPr>
          <w:p>
            <w:pPr>
              <w:jc w:val="center"/>
            </w:pPr>
            <w:r/>
            <w:r>
              <w:rPr>
                <w:rFonts w:ascii="Times New Roman" w:hAnsi="Times New Roman"/>
                <w:b w:val="0"/>
                <w:i w:val="0"/>
                <w:sz w:val="20"/>
              </w:rPr>
              <w:t>56 (87.5%)</w:t>
            </w:r>
          </w:p>
        </w:tc>
        <w:tc>
          <w:tcPr>
            <w:tcW w:type="dxa" w:w="2250"/>
          </w:tcPr>
          <w:p>
            <w:pPr>
              <w:jc w:val="center"/>
            </w:pPr>
            <w:r/>
            <w:r>
              <w:rPr>
                <w:rFonts w:ascii="Times New Roman" w:hAnsi="Times New Roman"/>
                <w:b w:val="0"/>
                <w:i w:val="0"/>
                <w:sz w:val="20"/>
              </w:rPr>
              <w:t>114 (89.1%)</w:t>
            </w:r>
          </w:p>
        </w:tc>
      </w:tr>
    </w:tbl>
    <w:p>
      <w:pPr>
        <w:spacing w:after="120"/>
      </w:pPr>
    </w:p>
    <w:p>
      <w:pPr>
        <w:spacing w:after="160" w:before="0" w:line="360" w:lineRule="auto"/>
        <w:ind w:firstLine="720"/>
        <w:jc w:val="both"/>
      </w:pPr>
      <w:r>
        <w:rPr>
          <w:rFonts w:ascii="Times New Roman" w:hAnsi="Times New Roman"/>
          <w:b w:val="0"/>
          <w:i w:val="0"/>
          <w:sz w:val="24"/>
        </w:rPr>
        <w:t>The groups looked similar on gender, year group and age. An independent-samples t-test showed no age difference (t(126) = 0.63, p = .531). Chi-square tests likewise showed no difference for gender (χ²(1) = 0.13, p = .721) or year group (χ²(1) = 0.00, p = 1.000). Most children already had some device experience (89.1%), so unfamiliarity with phones or tablets is unlikely to explain later group differences.</w:t>
      </w:r>
    </w:p>
    <w:p>
      <w:pPr>
        <w:spacing w:before="280" w:after="200" w:line="360" w:lineRule="auto"/>
        <w:ind w:firstLine="0"/>
        <w:jc w:val="left"/>
      </w:pPr>
      <w:r>
        <w:rPr>
          <w:rFonts w:ascii="Times New Roman" w:hAnsi="Times New Roman"/>
          <w:b/>
          <w:i w:val="0"/>
          <w:sz w:val="24"/>
        </w:rPr>
        <w:t>4.3 Pre-Test Equivalence</w:t>
      </w:r>
    </w:p>
    <w:p>
      <w:pPr>
        <w:spacing w:after="160" w:before="0" w:line="360" w:lineRule="auto"/>
        <w:ind w:firstLine="720"/>
        <w:jc w:val="both"/>
      </w:pPr>
      <w:r>
        <w:rPr>
          <w:rFonts w:ascii="Times New Roman" w:hAnsi="Times New Roman"/>
          <w:b w:val="0"/>
          <w:i w:val="0"/>
          <w:sz w:val="24"/>
        </w:rPr>
        <w:t>Before comparing end-of-week post-test scores, we checked whether the two groups started from the same place. Table 4.2 summarises the Mathematics and English Language pre-tests.</w:t>
      </w:r>
    </w:p>
    <w:p>
      <w:pPr>
        <w:spacing w:after="120" w:before="200" w:line="360" w:lineRule="auto"/>
        <w:jc w:val="center"/>
      </w:pPr>
      <w:r>
        <w:rPr>
          <w:rFonts w:ascii="Times New Roman" w:hAnsi="Times New Roman"/>
          <w:b/>
          <w:i w:val="0"/>
          <w:sz w:val="22"/>
        </w:rPr>
        <w:t>Table 4.2: Pre-test comparison between experimental and control groups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
              <w:rPr>
                <w:rFonts w:ascii="Times New Roman" w:hAnsi="Times New Roman"/>
                <w:b/>
                <w:i w:val="0"/>
                <w:sz w:val="20"/>
              </w:rPr>
              <w:t>Subject</w:t>
            </w:r>
          </w:p>
        </w:tc>
        <w:tc>
          <w:tcPr>
            <w:tcW w:type="dxa" w:w="1500"/>
          </w:tcPr>
          <w:p>
            <w:pPr>
              <w:jc w:val="center"/>
            </w:pPr>
            <w:r/>
            <w:r>
              <w:rPr>
                <w:rFonts w:ascii="Times New Roman" w:hAnsi="Times New Roman"/>
                <w:b/>
                <w:i w:val="0"/>
                <w:sz w:val="20"/>
              </w:rPr>
              <w:t>Experimental M (SD)</w:t>
            </w:r>
          </w:p>
        </w:tc>
        <w:tc>
          <w:tcPr>
            <w:tcW w:type="dxa" w:w="1500"/>
          </w:tcPr>
          <w:p>
            <w:pPr>
              <w:jc w:val="center"/>
            </w:pPr>
            <w:r/>
            <w:r>
              <w:rPr>
                <w:rFonts w:ascii="Times New Roman" w:hAnsi="Times New Roman"/>
                <w:b/>
                <w:i w:val="0"/>
                <w:sz w:val="20"/>
              </w:rPr>
              <w:t>Control M (SD)</w:t>
            </w:r>
          </w:p>
        </w:tc>
        <w:tc>
          <w:tcPr>
            <w:tcW w:type="dxa" w:w="1500"/>
          </w:tcPr>
          <w:p>
            <w:pPr>
              <w:jc w:val="center"/>
            </w:pPr>
            <w:r/>
            <w:r>
              <w:rPr>
                <w:rFonts w:ascii="Times New Roman" w:hAnsi="Times New Roman"/>
                <w:b/>
                <w:i w:val="0"/>
                <w:sz w:val="20"/>
              </w:rPr>
              <w:t>t</w:t>
            </w:r>
          </w:p>
        </w:tc>
        <w:tc>
          <w:tcPr>
            <w:tcW w:type="dxa" w:w="1500"/>
          </w:tcPr>
          <w:p>
            <w:pPr>
              <w:jc w:val="center"/>
            </w:pPr>
            <w:r/>
            <w:r>
              <w:rPr>
                <w:rFonts w:ascii="Times New Roman" w:hAnsi="Times New Roman"/>
                <w:b/>
                <w:i w:val="0"/>
                <w:sz w:val="20"/>
              </w:rPr>
              <w:t>df</w:t>
            </w:r>
          </w:p>
        </w:tc>
        <w:tc>
          <w:tcPr>
            <w:tcW w:type="dxa" w:w="1500"/>
          </w:tcPr>
          <w:p>
            <w:pPr>
              <w:jc w:val="center"/>
            </w:pPr>
            <w:r/>
            <w:r>
              <w:rPr>
                <w:rFonts w:ascii="Times New Roman" w:hAnsi="Times New Roman"/>
                <w:b/>
                <w:i w:val="0"/>
                <w:sz w:val="20"/>
              </w:rPr>
              <w:t>p</w:t>
            </w:r>
          </w:p>
        </w:tc>
      </w:tr>
      <w:tr>
        <w:tc>
          <w:tcPr>
            <w:tcW w:type="dxa" w:w="1500"/>
          </w:tcPr>
          <w:p>
            <w:pPr>
              <w:jc w:val="center"/>
            </w:pPr>
            <w:r/>
            <w:r>
              <w:rPr>
                <w:rFonts w:ascii="Times New Roman" w:hAnsi="Times New Roman"/>
                <w:b w:val="0"/>
                <w:i w:val="0"/>
                <w:sz w:val="20"/>
              </w:rPr>
              <w:t>Mathematics</w:t>
            </w:r>
          </w:p>
        </w:tc>
        <w:tc>
          <w:tcPr>
            <w:tcW w:type="dxa" w:w="1500"/>
          </w:tcPr>
          <w:p>
            <w:pPr>
              <w:jc w:val="center"/>
            </w:pPr>
            <w:r/>
            <w:r>
              <w:rPr>
                <w:rFonts w:ascii="Times New Roman" w:hAnsi="Times New Roman"/>
                <w:b w:val="0"/>
                <w:i w:val="0"/>
                <w:sz w:val="20"/>
              </w:rPr>
              <w:t>18.47 (4.32)</w:t>
            </w:r>
          </w:p>
        </w:tc>
        <w:tc>
          <w:tcPr>
            <w:tcW w:type="dxa" w:w="1500"/>
          </w:tcPr>
          <w:p>
            <w:pPr>
              <w:jc w:val="center"/>
            </w:pPr>
            <w:r/>
            <w:r>
              <w:rPr>
                <w:rFonts w:ascii="Times New Roman" w:hAnsi="Times New Roman"/>
                <w:b w:val="0"/>
                <w:i w:val="0"/>
                <w:sz w:val="20"/>
              </w:rPr>
              <w:t>18.91 (4.17)</w:t>
            </w:r>
          </w:p>
        </w:tc>
        <w:tc>
          <w:tcPr>
            <w:tcW w:type="dxa" w:w="1500"/>
          </w:tcPr>
          <w:p>
            <w:pPr>
              <w:jc w:val="center"/>
            </w:pPr>
            <w:r/>
            <w:r>
              <w:rPr>
                <w:rFonts w:ascii="Times New Roman" w:hAnsi="Times New Roman"/>
                <w:b w:val="0"/>
                <w:i w:val="0"/>
                <w:sz w:val="20"/>
              </w:rPr>
              <w:t>0.56</w:t>
            </w:r>
          </w:p>
        </w:tc>
        <w:tc>
          <w:tcPr>
            <w:tcW w:type="dxa" w:w="1500"/>
          </w:tcPr>
          <w:p>
            <w:pPr>
              <w:jc w:val="center"/>
            </w:pPr>
            <w:r/>
            <w:r>
              <w:rPr>
                <w:rFonts w:ascii="Times New Roman" w:hAnsi="Times New Roman"/>
                <w:b w:val="0"/>
                <w:i w:val="0"/>
                <w:sz w:val="20"/>
              </w:rPr>
              <w:t>126</w:t>
            </w:r>
          </w:p>
        </w:tc>
        <w:tc>
          <w:tcPr>
            <w:tcW w:type="dxa" w:w="1500"/>
          </w:tcPr>
          <w:p>
            <w:pPr>
              <w:jc w:val="center"/>
            </w:pPr>
            <w:r/>
            <w:r>
              <w:rPr>
                <w:rFonts w:ascii="Times New Roman" w:hAnsi="Times New Roman"/>
                <w:b w:val="0"/>
                <w:i w:val="0"/>
                <w:sz w:val="20"/>
              </w:rPr>
              <w:t>.576</w:t>
            </w:r>
          </w:p>
        </w:tc>
      </w:tr>
      <w:tr>
        <w:tc>
          <w:tcPr>
            <w:tcW w:type="dxa" w:w="1500"/>
          </w:tcPr>
          <w:p>
            <w:pPr>
              <w:jc w:val="center"/>
            </w:pPr>
            <w:r/>
            <w:r>
              <w:rPr>
                <w:rFonts w:ascii="Times New Roman" w:hAnsi="Times New Roman"/>
                <w:b w:val="0"/>
                <w:i w:val="0"/>
                <w:sz w:val="20"/>
              </w:rPr>
              <w:t>English Language</w:t>
            </w:r>
          </w:p>
        </w:tc>
        <w:tc>
          <w:tcPr>
            <w:tcW w:type="dxa" w:w="1500"/>
          </w:tcPr>
          <w:p>
            <w:pPr>
              <w:jc w:val="center"/>
            </w:pPr>
            <w:r/>
            <w:r>
              <w:rPr>
                <w:rFonts w:ascii="Times New Roman" w:hAnsi="Times New Roman"/>
                <w:b w:val="0"/>
                <w:i w:val="0"/>
                <w:sz w:val="20"/>
              </w:rPr>
              <w:t>19.23 (3.98)</w:t>
            </w:r>
          </w:p>
        </w:tc>
        <w:tc>
          <w:tcPr>
            <w:tcW w:type="dxa" w:w="1500"/>
          </w:tcPr>
          <w:p>
            <w:pPr>
              <w:jc w:val="center"/>
            </w:pPr>
            <w:r/>
            <w:r>
              <w:rPr>
                <w:rFonts w:ascii="Times New Roman" w:hAnsi="Times New Roman"/>
                <w:b w:val="0"/>
                <w:i w:val="0"/>
                <w:sz w:val="20"/>
              </w:rPr>
              <w:t>19.08 (4.11)</w:t>
            </w:r>
          </w:p>
        </w:tc>
        <w:tc>
          <w:tcPr>
            <w:tcW w:type="dxa" w:w="1500"/>
          </w:tcPr>
          <w:p>
            <w:pPr>
              <w:jc w:val="center"/>
            </w:pPr>
            <w:r/>
            <w:r>
              <w:rPr>
                <w:rFonts w:ascii="Times New Roman" w:hAnsi="Times New Roman"/>
                <w:b w:val="0"/>
                <w:i w:val="0"/>
                <w:sz w:val="20"/>
              </w:rPr>
              <w:t>0.20</w:t>
            </w:r>
          </w:p>
        </w:tc>
        <w:tc>
          <w:tcPr>
            <w:tcW w:type="dxa" w:w="1500"/>
          </w:tcPr>
          <w:p>
            <w:pPr>
              <w:jc w:val="center"/>
            </w:pPr>
            <w:r/>
            <w:r>
              <w:rPr>
                <w:rFonts w:ascii="Times New Roman" w:hAnsi="Times New Roman"/>
                <w:b w:val="0"/>
                <w:i w:val="0"/>
                <w:sz w:val="20"/>
              </w:rPr>
              <w:t>126</w:t>
            </w:r>
          </w:p>
        </w:tc>
        <w:tc>
          <w:tcPr>
            <w:tcW w:type="dxa" w:w="1500"/>
          </w:tcPr>
          <w:p>
            <w:pPr>
              <w:jc w:val="center"/>
            </w:pPr>
            <w:r/>
            <w:r>
              <w:rPr>
                <w:rFonts w:ascii="Times New Roman" w:hAnsi="Times New Roman"/>
                <w:b w:val="0"/>
                <w:i w:val="0"/>
                <w:sz w:val="20"/>
              </w:rPr>
              <w:t>.841</w:t>
            </w:r>
          </w:p>
        </w:tc>
      </w:tr>
      <w:tr>
        <w:tc>
          <w:tcPr>
            <w:tcW w:type="dxa" w:w="1500"/>
          </w:tcPr>
          <w:p>
            <w:pPr>
              <w:jc w:val="center"/>
            </w:pPr>
            <w:r/>
            <w:r>
              <w:rPr>
                <w:rFonts w:ascii="Times New Roman" w:hAnsi="Times New Roman"/>
                <w:b w:val="0"/>
                <w:i w:val="0"/>
                <w:sz w:val="20"/>
              </w:rPr>
              <w:t>Combined total</w:t>
            </w:r>
          </w:p>
        </w:tc>
        <w:tc>
          <w:tcPr>
            <w:tcW w:type="dxa" w:w="1500"/>
          </w:tcPr>
          <w:p>
            <w:pPr>
              <w:jc w:val="center"/>
            </w:pPr>
            <w:r/>
            <w:r>
              <w:rPr>
                <w:rFonts w:ascii="Times New Roman" w:hAnsi="Times New Roman"/>
                <w:b w:val="0"/>
                <w:i w:val="0"/>
                <w:sz w:val="20"/>
              </w:rPr>
              <w:t>37.70 (7.44)</w:t>
            </w:r>
          </w:p>
        </w:tc>
        <w:tc>
          <w:tcPr>
            <w:tcW w:type="dxa" w:w="1500"/>
          </w:tcPr>
          <w:p>
            <w:pPr>
              <w:jc w:val="center"/>
            </w:pPr>
            <w:r/>
            <w:r>
              <w:rPr>
                <w:rFonts w:ascii="Times New Roman" w:hAnsi="Times New Roman"/>
                <w:b w:val="0"/>
                <w:i w:val="0"/>
                <w:sz w:val="20"/>
              </w:rPr>
              <w:t>37.99 (7.52)</w:t>
            </w:r>
          </w:p>
        </w:tc>
        <w:tc>
          <w:tcPr>
            <w:tcW w:type="dxa" w:w="1500"/>
          </w:tcPr>
          <w:p>
            <w:pPr>
              <w:jc w:val="center"/>
            </w:pPr>
            <w:r/>
            <w:r>
              <w:rPr>
                <w:rFonts w:ascii="Times New Roman" w:hAnsi="Times New Roman"/>
                <w:b w:val="0"/>
                <w:i w:val="0"/>
                <w:sz w:val="20"/>
              </w:rPr>
              <w:t>0.21</w:t>
            </w:r>
          </w:p>
        </w:tc>
        <w:tc>
          <w:tcPr>
            <w:tcW w:type="dxa" w:w="1500"/>
          </w:tcPr>
          <w:p>
            <w:pPr>
              <w:jc w:val="center"/>
            </w:pPr>
            <w:r/>
            <w:r>
              <w:rPr>
                <w:rFonts w:ascii="Times New Roman" w:hAnsi="Times New Roman"/>
                <w:b w:val="0"/>
                <w:i w:val="0"/>
                <w:sz w:val="20"/>
              </w:rPr>
              <w:t>126</w:t>
            </w:r>
          </w:p>
        </w:tc>
        <w:tc>
          <w:tcPr>
            <w:tcW w:type="dxa" w:w="1500"/>
          </w:tcPr>
          <w:p>
            <w:pPr>
              <w:jc w:val="center"/>
            </w:pPr>
            <w:r/>
            <w:r>
              <w:rPr>
                <w:rFonts w:ascii="Times New Roman" w:hAnsi="Times New Roman"/>
                <w:b w:val="0"/>
                <w:i w:val="0"/>
                <w:sz w:val="20"/>
              </w:rPr>
              <w:t>.834</w:t>
            </w:r>
          </w:p>
        </w:tc>
      </w:tr>
    </w:tbl>
    <w:p>
      <w:pPr>
        <w:spacing w:after="120"/>
      </w:pPr>
    </w:p>
    <w:p>
      <w:pPr>
        <w:spacing w:after="160" w:before="0" w:line="360" w:lineRule="auto"/>
        <w:ind w:firstLine="720"/>
        <w:jc w:val="both"/>
      </w:pPr>
      <w:r>
        <w:rPr>
          <w:rFonts w:ascii="Times New Roman" w:hAnsi="Times New Roman"/>
          <w:b w:val="0"/>
          <w:i w:val="0"/>
          <w:sz w:val="24"/>
        </w:rPr>
        <w:t>None of the pre-test differences reached significance, and Cohen’s d values were all below 0.10. The groups were close enough at baseline for ANCOVA with pre-test as covariate to be a fair way of comparing post-test outcomes.</w:t>
      </w:r>
    </w:p>
    <w:p>
      <w:pPr>
        <w:spacing w:before="280" w:after="200" w:line="360" w:lineRule="auto"/>
        <w:ind w:firstLine="0"/>
        <w:jc w:val="left"/>
      </w:pPr>
      <w:r>
        <w:rPr>
          <w:rFonts w:ascii="Times New Roman" w:hAnsi="Times New Roman"/>
          <w:b/>
          <w:i w:val="0"/>
          <w:sz w:val="24"/>
        </w:rPr>
        <w:t>4.4 Academic Performance Outcomes (RQ1, RQ8)</w:t>
      </w:r>
    </w:p>
    <w:p>
      <w:pPr>
        <w:spacing w:after="160" w:before="0" w:line="360" w:lineRule="auto"/>
        <w:ind w:firstLine="720"/>
        <w:jc w:val="both"/>
      </w:pPr>
      <w:r>
        <w:rPr>
          <w:rFonts w:ascii="Times New Roman" w:hAnsi="Times New Roman"/>
          <w:b w:val="0"/>
          <w:i w:val="0"/>
          <w:sz w:val="24"/>
        </w:rPr>
        <w:t>This section answers how far SkulKid’s child-facing interface, gamification and adaptive lesson rules were linked to learning gains over the observation week, relative to ordinary teaching across the same five school days.</w:t>
      </w:r>
    </w:p>
    <w:p>
      <w:pPr>
        <w:spacing w:before="280" w:after="200" w:line="360" w:lineRule="auto"/>
        <w:ind w:firstLine="0"/>
        <w:jc w:val="left"/>
      </w:pPr>
      <w:r>
        <w:rPr>
          <w:rFonts w:ascii="Times New Roman" w:hAnsi="Times New Roman"/>
          <w:b/>
          <w:i w:val="0"/>
          <w:sz w:val="24"/>
        </w:rPr>
        <w:t>4.4.1 Mathematics achievement</w:t>
      </w:r>
    </w:p>
    <w:p>
      <w:pPr>
        <w:spacing w:after="160" w:before="0" w:line="360" w:lineRule="auto"/>
        <w:ind w:firstLine="720"/>
        <w:jc w:val="both"/>
      </w:pPr>
      <w:r>
        <w:rPr>
          <w:rFonts w:ascii="Times New Roman" w:hAnsi="Times New Roman"/>
          <w:b w:val="0"/>
          <w:i w:val="0"/>
          <w:sz w:val="24"/>
        </w:rPr>
        <w:t>After adjusting for pre-test scores, the experimental group’s Mathematics post-test mean was 28.74 (SE = 0.41), against 22.13 (SE = 0.41) for the control group. ANCOVA gave a clear group effect, F(1, 125) = 130.47, p &lt; .001, partial η² = .511. In plain terms, group membership explained just over half of the remaining variance in Mathematics post-test scores once starting ability was held constant.</w:t>
      </w:r>
    </w:p>
    <w:p>
      <w:pPr>
        <w:spacing w:after="120" w:before="200" w:line="360" w:lineRule="auto"/>
        <w:jc w:val="center"/>
      </w:pPr>
      <w:r>
        <w:rPr>
          <w:rFonts w:ascii="Times New Roman" w:hAnsi="Times New Roman"/>
          <w:b/>
          <w:i w:val="0"/>
          <w:sz w:val="22"/>
        </w:rPr>
        <w:t>Table 4.3: Mathematics pre-test and post-test scores by group</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
              <w:rPr>
                <w:rFonts w:ascii="Times New Roman" w:hAnsi="Times New Roman"/>
                <w:b/>
                <w:i w:val="0"/>
                <w:sz w:val="20"/>
              </w:rPr>
              <w:t>Group</w:t>
            </w:r>
          </w:p>
        </w:tc>
        <w:tc>
          <w:tcPr>
            <w:tcW w:type="dxa" w:w="1500"/>
          </w:tcPr>
          <w:p>
            <w:pPr>
              <w:jc w:val="center"/>
            </w:pPr>
            <w:r/>
            <w:r>
              <w:rPr>
                <w:rFonts w:ascii="Times New Roman" w:hAnsi="Times New Roman"/>
                <w:b/>
                <w:i w:val="0"/>
                <w:sz w:val="20"/>
              </w:rPr>
              <w:t>Pre-test M (SD)</w:t>
            </w:r>
          </w:p>
        </w:tc>
        <w:tc>
          <w:tcPr>
            <w:tcW w:type="dxa" w:w="1500"/>
          </w:tcPr>
          <w:p>
            <w:pPr>
              <w:jc w:val="center"/>
            </w:pPr>
            <w:r/>
            <w:r>
              <w:rPr>
                <w:rFonts w:ascii="Times New Roman" w:hAnsi="Times New Roman"/>
                <w:b/>
                <w:i w:val="0"/>
                <w:sz w:val="20"/>
              </w:rPr>
              <w:t>Post-test M (SD)</w:t>
            </w:r>
          </w:p>
        </w:tc>
        <w:tc>
          <w:tcPr>
            <w:tcW w:type="dxa" w:w="1500"/>
          </w:tcPr>
          <w:p>
            <w:pPr>
              <w:jc w:val="center"/>
            </w:pPr>
            <w:r/>
            <w:r>
              <w:rPr>
                <w:rFonts w:ascii="Times New Roman" w:hAnsi="Times New Roman"/>
                <w:b/>
                <w:i w:val="0"/>
                <w:sz w:val="20"/>
              </w:rPr>
              <w:t>Adjusted M (SE)</w:t>
            </w:r>
          </w:p>
        </w:tc>
        <w:tc>
          <w:tcPr>
            <w:tcW w:type="dxa" w:w="1500"/>
          </w:tcPr>
          <w:p>
            <w:pPr>
              <w:jc w:val="center"/>
            </w:pPr>
            <w:r/>
            <w:r>
              <w:rPr>
                <w:rFonts w:ascii="Times New Roman" w:hAnsi="Times New Roman"/>
                <w:b/>
                <w:i w:val="0"/>
                <w:sz w:val="20"/>
              </w:rPr>
              <w:t>Mean gain</w:t>
            </w:r>
          </w:p>
        </w:tc>
        <w:tc>
          <w:tcPr>
            <w:tcW w:type="dxa" w:w="1500"/>
          </w:tcPr>
          <w:p>
            <w:pPr>
              <w:jc w:val="center"/>
            </w:pPr>
            <w:r/>
            <w:r>
              <w:rPr>
                <w:rFonts w:ascii="Times New Roman" w:hAnsi="Times New Roman"/>
                <w:b/>
                <w:i w:val="0"/>
                <w:sz w:val="20"/>
              </w:rPr>
              <w:t>Cohen’s d</w:t>
            </w:r>
          </w:p>
        </w:tc>
      </w:tr>
      <w:tr>
        <w:tc>
          <w:tcPr>
            <w:tcW w:type="dxa" w:w="1500"/>
          </w:tcPr>
          <w:p>
            <w:pPr>
              <w:jc w:val="center"/>
            </w:pPr>
            <w:r/>
            <w:r>
              <w:rPr>
                <w:rFonts w:ascii="Times New Roman" w:hAnsi="Times New Roman"/>
                <w:b w:val="0"/>
                <w:i w:val="0"/>
                <w:sz w:val="20"/>
              </w:rPr>
              <w:t>Experimental (n=64)</w:t>
            </w:r>
          </w:p>
        </w:tc>
        <w:tc>
          <w:tcPr>
            <w:tcW w:type="dxa" w:w="1500"/>
          </w:tcPr>
          <w:p>
            <w:pPr>
              <w:jc w:val="center"/>
            </w:pPr>
            <w:r/>
            <w:r>
              <w:rPr>
                <w:rFonts w:ascii="Times New Roman" w:hAnsi="Times New Roman"/>
                <w:b w:val="0"/>
                <w:i w:val="0"/>
                <w:sz w:val="20"/>
              </w:rPr>
              <w:t>18.47 (4.32)</w:t>
            </w:r>
          </w:p>
        </w:tc>
        <w:tc>
          <w:tcPr>
            <w:tcW w:type="dxa" w:w="1500"/>
          </w:tcPr>
          <w:p>
            <w:pPr>
              <w:jc w:val="center"/>
            </w:pPr>
            <w:r/>
            <w:r>
              <w:rPr>
                <w:rFonts w:ascii="Times New Roman" w:hAnsi="Times New Roman"/>
                <w:b w:val="0"/>
                <w:i w:val="0"/>
                <w:sz w:val="20"/>
              </w:rPr>
              <w:t>28.74 (4.18)</w:t>
            </w:r>
          </w:p>
        </w:tc>
        <w:tc>
          <w:tcPr>
            <w:tcW w:type="dxa" w:w="1500"/>
          </w:tcPr>
          <w:p>
            <w:pPr>
              <w:jc w:val="center"/>
            </w:pPr>
            <w:r/>
            <w:r>
              <w:rPr>
                <w:rFonts w:ascii="Times New Roman" w:hAnsi="Times New Roman"/>
                <w:b w:val="0"/>
                <w:i w:val="0"/>
                <w:sz w:val="20"/>
              </w:rPr>
              <w:t>28.74 (0.41)</w:t>
            </w:r>
          </w:p>
        </w:tc>
        <w:tc>
          <w:tcPr>
            <w:tcW w:type="dxa" w:w="1500"/>
          </w:tcPr>
          <w:p>
            <w:pPr>
              <w:jc w:val="center"/>
            </w:pPr>
            <w:r/>
            <w:r>
              <w:rPr>
                <w:rFonts w:ascii="Times New Roman" w:hAnsi="Times New Roman"/>
                <w:b w:val="0"/>
                <w:i w:val="0"/>
                <w:sz w:val="20"/>
              </w:rPr>
              <w:t>+10.27</w:t>
            </w:r>
          </w:p>
        </w:tc>
        <w:tc>
          <w:tcPr>
            <w:tcW w:type="dxa" w:w="1500"/>
          </w:tcPr>
          <w:p>
            <w:pPr>
              <w:jc w:val="center"/>
            </w:pPr>
            <w:r/>
            <w:r>
              <w:rPr>
                <w:rFonts w:ascii="Times New Roman" w:hAnsi="Times New Roman"/>
                <w:b w:val="0"/>
                <w:i w:val="0"/>
                <w:sz w:val="20"/>
              </w:rPr>
              <w:t>2.45</w:t>
            </w:r>
          </w:p>
        </w:tc>
      </w:tr>
      <w:tr>
        <w:tc>
          <w:tcPr>
            <w:tcW w:type="dxa" w:w="1500"/>
          </w:tcPr>
          <w:p>
            <w:pPr>
              <w:jc w:val="center"/>
            </w:pPr>
            <w:r/>
            <w:r>
              <w:rPr>
                <w:rFonts w:ascii="Times New Roman" w:hAnsi="Times New Roman"/>
                <w:b w:val="0"/>
                <w:i w:val="0"/>
                <w:sz w:val="20"/>
              </w:rPr>
              <w:t>Control (n=64)</w:t>
            </w:r>
          </w:p>
        </w:tc>
        <w:tc>
          <w:tcPr>
            <w:tcW w:type="dxa" w:w="1500"/>
          </w:tcPr>
          <w:p>
            <w:pPr>
              <w:jc w:val="center"/>
            </w:pPr>
            <w:r/>
            <w:r>
              <w:rPr>
                <w:rFonts w:ascii="Times New Roman" w:hAnsi="Times New Roman"/>
                <w:b w:val="0"/>
                <w:i w:val="0"/>
                <w:sz w:val="20"/>
              </w:rPr>
              <w:t>18.91 (4.17)</w:t>
            </w:r>
          </w:p>
        </w:tc>
        <w:tc>
          <w:tcPr>
            <w:tcW w:type="dxa" w:w="1500"/>
          </w:tcPr>
          <w:p>
            <w:pPr>
              <w:jc w:val="center"/>
            </w:pPr>
            <w:r/>
            <w:r>
              <w:rPr>
                <w:rFonts w:ascii="Times New Roman" w:hAnsi="Times New Roman"/>
                <w:b w:val="0"/>
                <w:i w:val="0"/>
                <w:sz w:val="20"/>
              </w:rPr>
              <w:t>22.13 (4.05)</w:t>
            </w:r>
          </w:p>
        </w:tc>
        <w:tc>
          <w:tcPr>
            <w:tcW w:type="dxa" w:w="1500"/>
          </w:tcPr>
          <w:p>
            <w:pPr>
              <w:jc w:val="center"/>
            </w:pPr>
            <w:r/>
            <w:r>
              <w:rPr>
                <w:rFonts w:ascii="Times New Roman" w:hAnsi="Times New Roman"/>
                <w:b w:val="0"/>
                <w:i w:val="0"/>
                <w:sz w:val="20"/>
              </w:rPr>
              <w:t>22.13 (0.41)</w:t>
            </w:r>
          </w:p>
        </w:tc>
        <w:tc>
          <w:tcPr>
            <w:tcW w:type="dxa" w:w="1500"/>
          </w:tcPr>
          <w:p>
            <w:pPr>
              <w:jc w:val="center"/>
            </w:pPr>
            <w:r/>
            <w:r>
              <w:rPr>
                <w:rFonts w:ascii="Times New Roman" w:hAnsi="Times New Roman"/>
                <w:b w:val="0"/>
                <w:i w:val="0"/>
                <w:sz w:val="20"/>
              </w:rPr>
              <w:t>+3.22</w:t>
            </w:r>
          </w:p>
        </w:tc>
        <w:tc>
          <w:tcPr>
            <w:tcW w:type="dxa" w:w="1500"/>
          </w:tcPr>
          <w:p>
            <w:pPr>
              <w:jc w:val="center"/>
            </w:pPr>
            <w:r/>
            <w:r>
              <w:rPr>
                <w:rFonts w:ascii="Times New Roman" w:hAnsi="Times New Roman"/>
                <w:b w:val="0"/>
                <w:i w:val="0"/>
                <w:sz w:val="20"/>
              </w:rPr>
              <w:t>0.77</w:t>
            </w:r>
          </w:p>
        </w:tc>
      </w:tr>
      <w:tr>
        <w:tc>
          <w:tcPr>
            <w:tcW w:type="dxa" w:w="1500"/>
          </w:tcPr>
          <w:p>
            <w:pPr>
              <w:jc w:val="center"/>
            </w:pPr>
            <w:r/>
            <w:r>
              <w:rPr>
                <w:rFonts w:ascii="Times New Roman" w:hAnsi="Times New Roman"/>
                <w:b w:val="0"/>
                <w:i w:val="0"/>
                <w:sz w:val="20"/>
              </w:rPr>
              <w:t>Between-group difference</w:t>
            </w:r>
          </w:p>
        </w:tc>
        <w:tc>
          <w:tcPr>
            <w:tcW w:type="dxa" w:w="1500"/>
          </w:tcPr>
          <w:p>
            <w:pPr>
              <w:jc w:val="center"/>
            </w:pPr>
            <w:r/>
            <w:r>
              <w:rPr>
                <w:rFonts w:ascii="Times New Roman" w:hAnsi="Times New Roman"/>
                <w:b w:val="0"/>
                <w:i w:val="0"/>
                <w:sz w:val="20"/>
              </w:rPr>
              <w:t>—</w:t>
            </w:r>
          </w:p>
        </w:tc>
        <w:tc>
          <w:tcPr>
            <w:tcW w:type="dxa" w:w="1500"/>
          </w:tcPr>
          <w:p>
            <w:pPr>
              <w:jc w:val="center"/>
            </w:pPr>
            <w:r/>
            <w:r>
              <w:rPr>
                <w:rFonts w:ascii="Times New Roman" w:hAnsi="Times New Roman"/>
                <w:b w:val="0"/>
                <w:i w:val="0"/>
                <w:sz w:val="20"/>
              </w:rPr>
              <w:t>6.61</w:t>
            </w:r>
          </w:p>
        </w:tc>
        <w:tc>
          <w:tcPr>
            <w:tcW w:type="dxa" w:w="1500"/>
          </w:tcPr>
          <w:p>
            <w:pPr>
              <w:jc w:val="center"/>
            </w:pPr>
            <w:r/>
            <w:r>
              <w:rPr>
                <w:rFonts w:ascii="Times New Roman" w:hAnsi="Times New Roman"/>
                <w:b w:val="0"/>
                <w:i w:val="0"/>
                <w:sz w:val="20"/>
              </w:rPr>
              <w:t>6.61</w:t>
            </w:r>
          </w:p>
        </w:tc>
        <w:tc>
          <w:tcPr>
            <w:tcW w:type="dxa" w:w="1500"/>
          </w:tcPr>
          <w:p>
            <w:pPr>
              <w:jc w:val="center"/>
            </w:pPr>
            <w:r/>
            <w:r>
              <w:rPr>
                <w:rFonts w:ascii="Times New Roman" w:hAnsi="Times New Roman"/>
                <w:b w:val="0"/>
                <w:i w:val="0"/>
                <w:sz w:val="20"/>
              </w:rPr>
              <w:t>7.05</w:t>
            </w:r>
          </w:p>
        </w:tc>
        <w:tc>
          <w:tcPr>
            <w:tcW w:type="dxa" w:w="1500"/>
          </w:tcPr>
          <w:p>
            <w:pPr>
              <w:jc w:val="center"/>
            </w:pPr>
            <w:r/>
            <w:r>
              <w:rPr>
                <w:rFonts w:ascii="Times New Roman" w:hAnsi="Times New Roman"/>
                <w:b w:val="0"/>
                <w:i w:val="0"/>
                <w:sz w:val="20"/>
              </w:rPr>
              <w:t>1.58</w:t>
            </w:r>
          </w:p>
        </w:tc>
      </w:tr>
    </w:tbl>
    <w:p>
      <w:pPr>
        <w:spacing w:after="120"/>
      </w:pPr>
    </w:p>
    <w:p>
      <w:pPr>
        <w:spacing w:after="160" w:before="0" w:line="360" w:lineRule="auto"/>
        <w:ind w:firstLine="720"/>
        <w:jc w:val="both"/>
      </w:pPr>
      <w:r>
        <w:rPr>
          <w:rFonts w:ascii="Times New Roman" w:hAnsi="Times New Roman"/>
          <w:b w:val="0"/>
          <w:i w:val="0"/>
          <w:sz w:val="24"/>
        </w:rPr>
        <w:t>Paired t-tests confirmed that both groups improved. The SkulKid group gained 10.27 marks on average (t(63) = 19.03, p &lt; .001). The control group gained 3.22 marks (t(63) = 6.32, p &lt; .001). The gap of about seven marks is what we take as the extra lift associated with the platform during the observation week.</w:t>
      </w:r>
    </w:p>
    <w:p>
      <w:pPr>
        <w:spacing w:before="280" w:after="200" w:line="360" w:lineRule="auto"/>
        <w:ind w:firstLine="0"/>
        <w:jc w:val="left"/>
      </w:pPr>
      <w:r>
        <w:rPr>
          <w:rFonts w:ascii="Times New Roman" w:hAnsi="Times New Roman"/>
          <w:b/>
          <w:i w:val="0"/>
          <w:sz w:val="24"/>
        </w:rPr>
        <w:t>4.4.2 English Language achievement</w:t>
      </w:r>
    </w:p>
    <w:p>
      <w:pPr>
        <w:spacing w:after="160" w:before="0" w:line="360" w:lineRule="auto"/>
        <w:ind w:firstLine="720"/>
        <w:jc w:val="both"/>
      </w:pPr>
      <w:r>
        <w:rPr>
          <w:rFonts w:ascii="Times New Roman" w:hAnsi="Times New Roman"/>
          <w:b w:val="0"/>
          <w:i w:val="0"/>
          <w:sz w:val="24"/>
        </w:rPr>
        <w:t>English followed a similar pattern. Adjusted post-test means were 29.31 (SE = 0.38) for the experimental group and 22.84 (SE = 0.38) for the control group, F(1, 125) = 161.74, p &lt; .001, partial η² = .564.</w:t>
      </w:r>
    </w:p>
    <w:p>
      <w:pPr>
        <w:spacing w:after="120" w:before="200" w:line="360" w:lineRule="auto"/>
        <w:jc w:val="center"/>
      </w:pPr>
      <w:r>
        <w:rPr>
          <w:rFonts w:ascii="Times New Roman" w:hAnsi="Times New Roman"/>
          <w:b/>
          <w:i w:val="0"/>
          <w:sz w:val="22"/>
        </w:rPr>
        <w:t>Table 4.4: English Language pre-test and post-test scores by group</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
              <w:rPr>
                <w:rFonts w:ascii="Times New Roman" w:hAnsi="Times New Roman"/>
                <w:b/>
                <w:i w:val="0"/>
                <w:sz w:val="20"/>
              </w:rPr>
              <w:t>Group</w:t>
            </w:r>
          </w:p>
        </w:tc>
        <w:tc>
          <w:tcPr>
            <w:tcW w:type="dxa" w:w="1500"/>
          </w:tcPr>
          <w:p>
            <w:pPr>
              <w:jc w:val="center"/>
            </w:pPr>
            <w:r/>
            <w:r>
              <w:rPr>
                <w:rFonts w:ascii="Times New Roman" w:hAnsi="Times New Roman"/>
                <w:b/>
                <w:i w:val="0"/>
                <w:sz w:val="20"/>
              </w:rPr>
              <w:t>Pre-test M (SD)</w:t>
            </w:r>
          </w:p>
        </w:tc>
        <w:tc>
          <w:tcPr>
            <w:tcW w:type="dxa" w:w="1500"/>
          </w:tcPr>
          <w:p>
            <w:pPr>
              <w:jc w:val="center"/>
            </w:pPr>
            <w:r/>
            <w:r>
              <w:rPr>
                <w:rFonts w:ascii="Times New Roman" w:hAnsi="Times New Roman"/>
                <w:b/>
                <w:i w:val="0"/>
                <w:sz w:val="20"/>
              </w:rPr>
              <w:t>Post-test M (SD)</w:t>
            </w:r>
          </w:p>
        </w:tc>
        <w:tc>
          <w:tcPr>
            <w:tcW w:type="dxa" w:w="1500"/>
          </w:tcPr>
          <w:p>
            <w:pPr>
              <w:jc w:val="center"/>
            </w:pPr>
            <w:r/>
            <w:r>
              <w:rPr>
                <w:rFonts w:ascii="Times New Roman" w:hAnsi="Times New Roman"/>
                <w:b/>
                <w:i w:val="0"/>
                <w:sz w:val="20"/>
              </w:rPr>
              <w:t>Adjusted M (SE)</w:t>
            </w:r>
          </w:p>
        </w:tc>
        <w:tc>
          <w:tcPr>
            <w:tcW w:type="dxa" w:w="1500"/>
          </w:tcPr>
          <w:p>
            <w:pPr>
              <w:jc w:val="center"/>
            </w:pPr>
            <w:r/>
            <w:r>
              <w:rPr>
                <w:rFonts w:ascii="Times New Roman" w:hAnsi="Times New Roman"/>
                <w:b/>
                <w:i w:val="0"/>
                <w:sz w:val="20"/>
              </w:rPr>
              <w:t>Mean gain</w:t>
            </w:r>
          </w:p>
        </w:tc>
        <w:tc>
          <w:tcPr>
            <w:tcW w:type="dxa" w:w="1500"/>
          </w:tcPr>
          <w:p>
            <w:pPr>
              <w:jc w:val="center"/>
            </w:pPr>
            <w:r/>
            <w:r>
              <w:rPr>
                <w:rFonts w:ascii="Times New Roman" w:hAnsi="Times New Roman"/>
                <w:b/>
                <w:i w:val="0"/>
                <w:sz w:val="20"/>
              </w:rPr>
              <w:t>Cohen’s d</w:t>
            </w:r>
          </w:p>
        </w:tc>
      </w:tr>
      <w:tr>
        <w:tc>
          <w:tcPr>
            <w:tcW w:type="dxa" w:w="1500"/>
          </w:tcPr>
          <w:p>
            <w:pPr>
              <w:jc w:val="center"/>
            </w:pPr>
            <w:r/>
            <w:r>
              <w:rPr>
                <w:rFonts w:ascii="Times New Roman" w:hAnsi="Times New Roman"/>
                <w:b w:val="0"/>
                <w:i w:val="0"/>
                <w:sz w:val="20"/>
              </w:rPr>
              <w:t>Experimental (n=64)</w:t>
            </w:r>
          </w:p>
        </w:tc>
        <w:tc>
          <w:tcPr>
            <w:tcW w:type="dxa" w:w="1500"/>
          </w:tcPr>
          <w:p>
            <w:pPr>
              <w:jc w:val="center"/>
            </w:pPr>
            <w:r/>
            <w:r>
              <w:rPr>
                <w:rFonts w:ascii="Times New Roman" w:hAnsi="Times New Roman"/>
                <w:b w:val="0"/>
                <w:i w:val="0"/>
                <w:sz w:val="20"/>
              </w:rPr>
              <w:t>19.23 (3.98)</w:t>
            </w:r>
          </w:p>
        </w:tc>
        <w:tc>
          <w:tcPr>
            <w:tcW w:type="dxa" w:w="1500"/>
          </w:tcPr>
          <w:p>
            <w:pPr>
              <w:jc w:val="center"/>
            </w:pPr>
            <w:r/>
            <w:r>
              <w:rPr>
                <w:rFonts w:ascii="Times New Roman" w:hAnsi="Times New Roman"/>
                <w:b w:val="0"/>
                <w:i w:val="0"/>
                <w:sz w:val="20"/>
              </w:rPr>
              <w:t>29.31 (3.74)</w:t>
            </w:r>
          </w:p>
        </w:tc>
        <w:tc>
          <w:tcPr>
            <w:tcW w:type="dxa" w:w="1500"/>
          </w:tcPr>
          <w:p>
            <w:pPr>
              <w:jc w:val="center"/>
            </w:pPr>
            <w:r/>
            <w:r>
              <w:rPr>
                <w:rFonts w:ascii="Times New Roman" w:hAnsi="Times New Roman"/>
                <w:b w:val="0"/>
                <w:i w:val="0"/>
                <w:sz w:val="20"/>
              </w:rPr>
              <w:t>29.31 (0.38)</w:t>
            </w:r>
          </w:p>
        </w:tc>
        <w:tc>
          <w:tcPr>
            <w:tcW w:type="dxa" w:w="1500"/>
          </w:tcPr>
          <w:p>
            <w:pPr>
              <w:jc w:val="center"/>
            </w:pPr>
            <w:r/>
            <w:r>
              <w:rPr>
                <w:rFonts w:ascii="Times New Roman" w:hAnsi="Times New Roman"/>
                <w:b w:val="0"/>
                <w:i w:val="0"/>
                <w:sz w:val="20"/>
              </w:rPr>
              <w:t>+10.08</w:t>
            </w:r>
          </w:p>
        </w:tc>
        <w:tc>
          <w:tcPr>
            <w:tcW w:type="dxa" w:w="1500"/>
          </w:tcPr>
          <w:p>
            <w:pPr>
              <w:jc w:val="center"/>
            </w:pPr>
            <w:r/>
            <w:r>
              <w:rPr>
                <w:rFonts w:ascii="Times New Roman" w:hAnsi="Times New Roman"/>
                <w:b w:val="0"/>
                <w:i w:val="0"/>
                <w:sz w:val="20"/>
              </w:rPr>
              <w:t>2.61</w:t>
            </w:r>
          </w:p>
        </w:tc>
      </w:tr>
      <w:tr>
        <w:tc>
          <w:tcPr>
            <w:tcW w:type="dxa" w:w="1500"/>
          </w:tcPr>
          <w:p>
            <w:pPr>
              <w:jc w:val="center"/>
            </w:pPr>
            <w:r/>
            <w:r>
              <w:rPr>
                <w:rFonts w:ascii="Times New Roman" w:hAnsi="Times New Roman"/>
                <w:b w:val="0"/>
                <w:i w:val="0"/>
                <w:sz w:val="20"/>
              </w:rPr>
              <w:t>Control (n=64)</w:t>
            </w:r>
          </w:p>
        </w:tc>
        <w:tc>
          <w:tcPr>
            <w:tcW w:type="dxa" w:w="1500"/>
          </w:tcPr>
          <w:p>
            <w:pPr>
              <w:jc w:val="center"/>
            </w:pPr>
            <w:r/>
            <w:r>
              <w:rPr>
                <w:rFonts w:ascii="Times New Roman" w:hAnsi="Times New Roman"/>
                <w:b w:val="0"/>
                <w:i w:val="0"/>
                <w:sz w:val="20"/>
              </w:rPr>
              <w:t>19.08 (4.11)</w:t>
            </w:r>
          </w:p>
        </w:tc>
        <w:tc>
          <w:tcPr>
            <w:tcW w:type="dxa" w:w="1500"/>
          </w:tcPr>
          <w:p>
            <w:pPr>
              <w:jc w:val="center"/>
            </w:pPr>
            <w:r/>
            <w:r>
              <w:rPr>
                <w:rFonts w:ascii="Times New Roman" w:hAnsi="Times New Roman"/>
                <w:b w:val="0"/>
                <w:i w:val="0"/>
                <w:sz w:val="20"/>
              </w:rPr>
              <w:t>22.84 (4.23)</w:t>
            </w:r>
          </w:p>
        </w:tc>
        <w:tc>
          <w:tcPr>
            <w:tcW w:type="dxa" w:w="1500"/>
          </w:tcPr>
          <w:p>
            <w:pPr>
              <w:jc w:val="center"/>
            </w:pPr>
            <w:r/>
            <w:r>
              <w:rPr>
                <w:rFonts w:ascii="Times New Roman" w:hAnsi="Times New Roman"/>
                <w:b w:val="0"/>
                <w:i w:val="0"/>
                <w:sz w:val="20"/>
              </w:rPr>
              <w:t>22.84 (0.38)</w:t>
            </w:r>
          </w:p>
        </w:tc>
        <w:tc>
          <w:tcPr>
            <w:tcW w:type="dxa" w:w="1500"/>
          </w:tcPr>
          <w:p>
            <w:pPr>
              <w:jc w:val="center"/>
            </w:pPr>
            <w:r/>
            <w:r>
              <w:rPr>
                <w:rFonts w:ascii="Times New Roman" w:hAnsi="Times New Roman"/>
                <w:b w:val="0"/>
                <w:i w:val="0"/>
                <w:sz w:val="20"/>
              </w:rPr>
              <w:t>+3.76</w:t>
            </w:r>
          </w:p>
        </w:tc>
        <w:tc>
          <w:tcPr>
            <w:tcW w:type="dxa" w:w="1500"/>
          </w:tcPr>
          <w:p>
            <w:pPr>
              <w:jc w:val="center"/>
            </w:pPr>
            <w:r/>
            <w:r>
              <w:rPr>
                <w:rFonts w:ascii="Times New Roman" w:hAnsi="Times New Roman"/>
                <w:b w:val="0"/>
                <w:i w:val="0"/>
                <w:sz w:val="20"/>
              </w:rPr>
              <w:t>0.89</w:t>
            </w:r>
          </w:p>
        </w:tc>
      </w:tr>
      <w:tr>
        <w:tc>
          <w:tcPr>
            <w:tcW w:type="dxa" w:w="1500"/>
          </w:tcPr>
          <w:p>
            <w:pPr>
              <w:jc w:val="center"/>
            </w:pPr>
            <w:r/>
            <w:r>
              <w:rPr>
                <w:rFonts w:ascii="Times New Roman" w:hAnsi="Times New Roman"/>
                <w:b w:val="0"/>
                <w:i w:val="0"/>
                <w:sz w:val="20"/>
              </w:rPr>
              <w:t>Between-group difference</w:t>
            </w:r>
          </w:p>
        </w:tc>
        <w:tc>
          <w:tcPr>
            <w:tcW w:type="dxa" w:w="1500"/>
          </w:tcPr>
          <w:p>
            <w:pPr>
              <w:jc w:val="center"/>
            </w:pPr>
            <w:r/>
            <w:r>
              <w:rPr>
                <w:rFonts w:ascii="Times New Roman" w:hAnsi="Times New Roman"/>
                <w:b w:val="0"/>
                <w:i w:val="0"/>
                <w:sz w:val="20"/>
              </w:rPr>
              <w:t>—</w:t>
            </w:r>
          </w:p>
        </w:tc>
        <w:tc>
          <w:tcPr>
            <w:tcW w:type="dxa" w:w="1500"/>
          </w:tcPr>
          <w:p>
            <w:pPr>
              <w:jc w:val="center"/>
            </w:pPr>
            <w:r/>
            <w:r>
              <w:rPr>
                <w:rFonts w:ascii="Times New Roman" w:hAnsi="Times New Roman"/>
                <w:b w:val="0"/>
                <w:i w:val="0"/>
                <w:sz w:val="20"/>
              </w:rPr>
              <w:t>6.47</w:t>
            </w:r>
          </w:p>
        </w:tc>
        <w:tc>
          <w:tcPr>
            <w:tcW w:type="dxa" w:w="1500"/>
          </w:tcPr>
          <w:p>
            <w:pPr>
              <w:jc w:val="center"/>
            </w:pPr>
            <w:r/>
            <w:r>
              <w:rPr>
                <w:rFonts w:ascii="Times New Roman" w:hAnsi="Times New Roman"/>
                <w:b w:val="0"/>
                <w:i w:val="0"/>
                <w:sz w:val="20"/>
              </w:rPr>
              <w:t>6.47</w:t>
            </w:r>
          </w:p>
        </w:tc>
        <w:tc>
          <w:tcPr>
            <w:tcW w:type="dxa" w:w="1500"/>
          </w:tcPr>
          <w:p>
            <w:pPr>
              <w:jc w:val="center"/>
            </w:pPr>
            <w:r/>
            <w:r>
              <w:rPr>
                <w:rFonts w:ascii="Times New Roman" w:hAnsi="Times New Roman"/>
                <w:b w:val="0"/>
                <w:i w:val="0"/>
                <w:sz w:val="20"/>
              </w:rPr>
              <w:t>6.32</w:t>
            </w:r>
          </w:p>
        </w:tc>
        <w:tc>
          <w:tcPr>
            <w:tcW w:type="dxa" w:w="1500"/>
          </w:tcPr>
          <w:p>
            <w:pPr>
              <w:jc w:val="center"/>
            </w:pPr>
            <w:r/>
            <w:r>
              <w:rPr>
                <w:rFonts w:ascii="Times New Roman" w:hAnsi="Times New Roman"/>
                <w:b w:val="0"/>
                <w:i w:val="0"/>
                <w:sz w:val="20"/>
              </w:rPr>
              <w:t>1.59</w:t>
            </w:r>
          </w:p>
        </w:tc>
      </w:tr>
    </w:tbl>
    <w:p>
      <w:pPr>
        <w:spacing w:after="120"/>
      </w:pPr>
    </w:p>
    <w:p>
      <w:pPr>
        <w:spacing w:after="160" w:before="0" w:line="360" w:lineRule="auto"/>
        <w:ind w:firstLine="720"/>
        <w:jc w:val="both"/>
      </w:pPr>
      <w:r>
        <w:rPr>
          <w:rFonts w:ascii="Times New Roman" w:hAnsi="Times New Roman"/>
          <w:b w:val="0"/>
          <w:i w:val="0"/>
          <w:sz w:val="24"/>
        </w:rPr>
        <w:t>Within-group gains were again significant for both arms (experimental: t(63) = 21.56, p &lt; .001; control: t(63) = 7.08, p &lt; .001). The near-matching Mathematics and English gains suggest that the platform’s motivation and practice loop helped across subjects, not only in one content area.</w:t>
      </w:r>
    </w:p>
    <w:p>
      <w:pPr>
        <w:spacing w:before="280" w:after="200" w:line="360" w:lineRule="auto"/>
        <w:ind w:firstLine="0"/>
        <w:jc w:val="left"/>
      </w:pPr>
      <w:r>
        <w:rPr>
          <w:rFonts w:ascii="Times New Roman" w:hAnsi="Times New Roman"/>
          <w:b/>
          <w:i w:val="0"/>
          <w:sz w:val="24"/>
        </w:rPr>
        <w:t>4.4.3 Discussion of academic outcomes</w:t>
      </w:r>
    </w:p>
    <w:p>
      <w:pPr>
        <w:spacing w:after="160" w:before="0" w:line="360" w:lineRule="auto"/>
        <w:ind w:firstLine="720"/>
        <w:jc w:val="both"/>
      </w:pPr>
      <w:r>
        <w:rPr>
          <w:rFonts w:ascii="Times New Roman" w:hAnsi="Times New Roman"/>
          <w:b w:val="0"/>
          <w:i w:val="0"/>
          <w:sz w:val="24"/>
        </w:rPr>
        <w:t>The experimental advantage was large in both subjects for such a short window. Comparable primary-school gamification studies often report smaller effects over longer periods (for example Sanchez et al., 2020; Barreto et al., 2017). Several local factors may help explain the pattern we saw: starting scores left room to improve; pupils used the platform in focused daily blocks; and for many of them an interactive, phone-friendly learning app was still relatively new. Rewards were also built around everyday effort—finishing lessons, keeping streaks, retrying after a weak score—rather than only around perfect answers.</w:t>
      </w:r>
    </w:p>
    <w:p>
      <w:pPr>
        <w:spacing w:after="160" w:before="0" w:line="360" w:lineRule="auto"/>
        <w:ind w:firstLine="720"/>
        <w:jc w:val="both"/>
      </w:pPr>
      <w:r>
        <w:rPr>
          <w:rFonts w:ascii="Times New Roman" w:hAnsi="Times New Roman"/>
          <w:b w:val="0"/>
          <w:i w:val="0"/>
          <w:sz w:val="24"/>
        </w:rPr>
        <w:t>A one-week observation is short, so these effect sizes should be read carefully. Teachers were present during sessions, devices were provided for the study window, and novelty can inflate early enthusiasm. The results speak more to immediate engagement and short-term learning lift than to long-term retention. Even so, the parallel Mathematics and English pattern fits the idea in the Engagement–Achievement Model (Skinner et al., 2009) that when behavioural and emotional engagement rise, subject performance can rise with them.</w:t>
      </w:r>
    </w:p>
    <w:p>
      <w:pPr>
        <w:spacing w:before="280" w:after="200" w:line="360" w:lineRule="auto"/>
        <w:ind w:firstLine="0"/>
        <w:jc w:val="left"/>
      </w:pPr>
      <w:r>
        <w:rPr>
          <w:rFonts w:ascii="Times New Roman" w:hAnsi="Times New Roman"/>
          <w:b/>
          <w:i w:val="0"/>
          <w:sz w:val="24"/>
        </w:rPr>
        <w:t>4.5 Gamification Engagement (RQ2, RQ7)</w:t>
      </w:r>
    </w:p>
    <w:p>
      <w:pPr>
        <w:spacing w:after="160" w:before="0" w:line="360" w:lineRule="auto"/>
        <w:ind w:firstLine="720"/>
        <w:jc w:val="both"/>
      </w:pPr>
      <w:r>
        <w:rPr>
          <w:rFonts w:ascii="Times New Roman" w:hAnsi="Times New Roman"/>
          <w:b w:val="0"/>
          <w:i w:val="0"/>
          <w:sz w:val="24"/>
        </w:rPr>
        <w:t>This section uses SkulKid’s activity logs for the 64 experimental pupils across the five school days of the observation week. The platform records XP awards, lesson completions, streaks, achievement unlocks, daily quest claims, class quiz attempts, leaderboard views, and class-chat reactions. XP is append-only: each award is written once with an idempotency key so the same action cannot be farmed twice.</w:t>
      </w:r>
    </w:p>
    <w:p>
      <w:pPr>
        <w:spacing w:before="280" w:after="200" w:line="360" w:lineRule="auto"/>
        <w:ind w:firstLine="0"/>
        <w:jc w:val="left"/>
      </w:pPr>
      <w:r>
        <w:rPr>
          <w:rFonts w:ascii="Times New Roman" w:hAnsi="Times New Roman"/>
          <w:b/>
          <w:i w:val="0"/>
          <w:sz w:val="24"/>
        </w:rPr>
        <w:t>4.5.1 Session completion and time on task</w:t>
      </w:r>
    </w:p>
    <w:p>
      <w:pPr>
        <w:spacing w:after="160" w:before="0" w:line="360" w:lineRule="auto"/>
        <w:ind w:firstLine="720"/>
        <w:jc w:val="both"/>
      </w:pPr>
      <w:r>
        <w:rPr>
          <w:rFonts w:ascii="Times New Roman" w:hAnsi="Times New Roman"/>
          <w:b w:val="0"/>
          <w:i w:val="0"/>
          <w:sz w:val="24"/>
        </w:rPr>
        <w:t>Five sessions were scheduled during the week (one per school day). Mean completion was 91.4% (SD = 6.8%), equivalent to about 4.57 sessions per pupil. Fifty-two pupils completed at least four of the five sessions. Average time on the platform was 152.6 minutes in total (about 30.5 minutes per attended session), close to the planned half-hour block. Thirty-eight pupils (59.4%) stayed beyond the scheduled end at least once.</w:t>
      </w:r>
    </w:p>
    <w:p>
      <w:pPr>
        <w:spacing w:after="120" w:before="200" w:line="360" w:lineRule="auto"/>
        <w:jc w:val="center"/>
      </w:pPr>
      <w:r>
        <w:rPr>
          <w:rFonts w:ascii="Times New Roman" w:hAnsi="Times New Roman"/>
          <w:b/>
          <w:i w:val="0"/>
          <w:sz w:val="22"/>
        </w:rPr>
        <w:t>Table 4.5: Session completion and time-on-task (experimental group, n = 64)</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jc w:val="center"/>
            </w:pPr>
            <w:r/>
            <w:r>
              <w:rPr>
                <w:rFonts w:ascii="Times New Roman" w:hAnsi="Times New Roman"/>
                <w:b/>
                <w:i w:val="0"/>
                <w:sz w:val="20"/>
              </w:rPr>
              <w:t>Engagement metric</w:t>
            </w:r>
          </w:p>
        </w:tc>
        <w:tc>
          <w:tcPr>
            <w:tcW w:type="dxa" w:w="1800"/>
          </w:tcPr>
          <w:p>
            <w:pPr>
              <w:jc w:val="center"/>
            </w:pPr>
            <w:r/>
            <w:r>
              <w:rPr>
                <w:rFonts w:ascii="Times New Roman" w:hAnsi="Times New Roman"/>
                <w:b/>
                <w:i w:val="0"/>
                <w:sz w:val="20"/>
              </w:rPr>
              <w:t>Mean</w:t>
            </w:r>
          </w:p>
        </w:tc>
        <w:tc>
          <w:tcPr>
            <w:tcW w:type="dxa" w:w="1800"/>
          </w:tcPr>
          <w:p>
            <w:pPr>
              <w:jc w:val="center"/>
            </w:pPr>
            <w:r/>
            <w:r>
              <w:rPr>
                <w:rFonts w:ascii="Times New Roman" w:hAnsi="Times New Roman"/>
                <w:b/>
                <w:i w:val="0"/>
                <w:sz w:val="20"/>
              </w:rPr>
              <w:t>SD</w:t>
            </w:r>
          </w:p>
        </w:tc>
        <w:tc>
          <w:tcPr>
            <w:tcW w:type="dxa" w:w="1800"/>
          </w:tcPr>
          <w:p>
            <w:pPr>
              <w:jc w:val="center"/>
            </w:pPr>
            <w:r/>
            <w:r>
              <w:rPr>
                <w:rFonts w:ascii="Times New Roman" w:hAnsi="Times New Roman"/>
                <w:b/>
                <w:i w:val="0"/>
                <w:sz w:val="20"/>
              </w:rPr>
              <w:t>Min</w:t>
            </w:r>
          </w:p>
        </w:tc>
        <w:tc>
          <w:tcPr>
            <w:tcW w:type="dxa" w:w="1800"/>
          </w:tcPr>
          <w:p>
            <w:pPr>
              <w:jc w:val="center"/>
            </w:pPr>
            <w:r/>
            <w:r>
              <w:rPr>
                <w:rFonts w:ascii="Times New Roman" w:hAnsi="Times New Roman"/>
                <w:b/>
                <w:i w:val="0"/>
                <w:sz w:val="20"/>
              </w:rPr>
              <w:t>Max</w:t>
            </w:r>
          </w:p>
        </w:tc>
      </w:tr>
      <w:tr>
        <w:tc>
          <w:tcPr>
            <w:tcW w:type="dxa" w:w="1800"/>
          </w:tcPr>
          <w:p>
            <w:pPr>
              <w:jc w:val="center"/>
            </w:pPr>
            <w:r/>
            <w:r>
              <w:rPr>
                <w:rFonts w:ascii="Times New Roman" w:hAnsi="Times New Roman"/>
                <w:b w:val="0"/>
                <w:i w:val="0"/>
                <w:sz w:val="20"/>
              </w:rPr>
              <w:t>Sessions completed (of 5)</w:t>
            </w:r>
          </w:p>
        </w:tc>
        <w:tc>
          <w:tcPr>
            <w:tcW w:type="dxa" w:w="1800"/>
          </w:tcPr>
          <w:p>
            <w:pPr>
              <w:jc w:val="center"/>
            </w:pPr>
            <w:r/>
            <w:r>
              <w:rPr>
                <w:rFonts w:ascii="Times New Roman" w:hAnsi="Times New Roman"/>
                <w:b w:val="0"/>
                <w:i w:val="0"/>
                <w:sz w:val="20"/>
              </w:rPr>
              <w:t>4.57</w:t>
            </w:r>
          </w:p>
        </w:tc>
        <w:tc>
          <w:tcPr>
            <w:tcW w:type="dxa" w:w="1800"/>
          </w:tcPr>
          <w:p>
            <w:pPr>
              <w:jc w:val="center"/>
            </w:pPr>
            <w:r/>
            <w:r>
              <w:rPr>
                <w:rFonts w:ascii="Times New Roman" w:hAnsi="Times New Roman"/>
                <w:b w:val="0"/>
                <w:i w:val="0"/>
                <w:sz w:val="20"/>
              </w:rPr>
              <w:t>0.68</w:t>
            </w:r>
          </w:p>
        </w:tc>
        <w:tc>
          <w:tcPr>
            <w:tcW w:type="dxa" w:w="1800"/>
          </w:tcPr>
          <w:p>
            <w:pPr>
              <w:jc w:val="center"/>
            </w:pPr>
            <w:r/>
            <w:r>
              <w:rPr>
                <w:rFonts w:ascii="Times New Roman" w:hAnsi="Times New Roman"/>
                <w:b w:val="0"/>
                <w:i w:val="0"/>
                <w:sz w:val="20"/>
              </w:rPr>
              <w:t>3</w:t>
            </w:r>
          </w:p>
        </w:tc>
        <w:tc>
          <w:tcPr>
            <w:tcW w:type="dxa" w:w="1800"/>
          </w:tcPr>
          <w:p>
            <w:pPr>
              <w:jc w:val="center"/>
            </w:pPr>
            <w:r/>
            <w:r>
              <w:rPr>
                <w:rFonts w:ascii="Times New Roman" w:hAnsi="Times New Roman"/>
                <w:b w:val="0"/>
                <w:i w:val="0"/>
                <w:sz w:val="20"/>
              </w:rPr>
              <w:t>5</w:t>
            </w:r>
          </w:p>
        </w:tc>
      </w:tr>
      <w:tr>
        <w:tc>
          <w:tcPr>
            <w:tcW w:type="dxa" w:w="1800"/>
          </w:tcPr>
          <w:p>
            <w:pPr>
              <w:jc w:val="center"/>
            </w:pPr>
            <w:r/>
            <w:r>
              <w:rPr>
                <w:rFonts w:ascii="Times New Roman" w:hAnsi="Times New Roman"/>
                <w:b w:val="0"/>
                <w:i w:val="0"/>
                <w:sz w:val="20"/>
              </w:rPr>
              <w:t>Session completion rate (%)</w:t>
            </w:r>
          </w:p>
        </w:tc>
        <w:tc>
          <w:tcPr>
            <w:tcW w:type="dxa" w:w="1800"/>
          </w:tcPr>
          <w:p>
            <w:pPr>
              <w:jc w:val="center"/>
            </w:pPr>
            <w:r/>
            <w:r>
              <w:rPr>
                <w:rFonts w:ascii="Times New Roman" w:hAnsi="Times New Roman"/>
                <w:b w:val="0"/>
                <w:i w:val="0"/>
                <w:sz w:val="20"/>
              </w:rPr>
              <w:t>91.4</w:t>
            </w:r>
          </w:p>
        </w:tc>
        <w:tc>
          <w:tcPr>
            <w:tcW w:type="dxa" w:w="1800"/>
          </w:tcPr>
          <w:p>
            <w:pPr>
              <w:jc w:val="center"/>
            </w:pPr>
            <w:r/>
            <w:r>
              <w:rPr>
                <w:rFonts w:ascii="Times New Roman" w:hAnsi="Times New Roman"/>
                <w:b w:val="0"/>
                <w:i w:val="0"/>
                <w:sz w:val="20"/>
              </w:rPr>
              <w:t>6.8</w:t>
            </w:r>
          </w:p>
        </w:tc>
        <w:tc>
          <w:tcPr>
            <w:tcW w:type="dxa" w:w="1800"/>
          </w:tcPr>
          <w:p>
            <w:pPr>
              <w:jc w:val="center"/>
            </w:pPr>
            <w:r/>
            <w:r>
              <w:rPr>
                <w:rFonts w:ascii="Times New Roman" w:hAnsi="Times New Roman"/>
                <w:b w:val="0"/>
                <w:i w:val="0"/>
                <w:sz w:val="20"/>
              </w:rPr>
              <w:t>60.0</w:t>
            </w:r>
          </w:p>
        </w:tc>
        <w:tc>
          <w:tcPr>
            <w:tcW w:type="dxa" w:w="1800"/>
          </w:tcPr>
          <w:p>
            <w:pPr>
              <w:jc w:val="center"/>
            </w:pPr>
            <w:r/>
            <w:r>
              <w:rPr>
                <w:rFonts w:ascii="Times New Roman" w:hAnsi="Times New Roman"/>
                <w:b w:val="0"/>
                <w:i w:val="0"/>
                <w:sz w:val="20"/>
              </w:rPr>
              <w:t>100</w:t>
            </w:r>
          </w:p>
        </w:tc>
      </w:tr>
      <w:tr>
        <w:tc>
          <w:tcPr>
            <w:tcW w:type="dxa" w:w="1800"/>
          </w:tcPr>
          <w:p>
            <w:pPr>
              <w:jc w:val="center"/>
            </w:pPr>
            <w:r/>
            <w:r>
              <w:rPr>
                <w:rFonts w:ascii="Times New Roman" w:hAnsi="Times New Roman"/>
                <w:b w:val="0"/>
                <w:i w:val="0"/>
                <w:sz w:val="20"/>
              </w:rPr>
              <w:t>Total time on platform (minutes)</w:t>
            </w:r>
          </w:p>
        </w:tc>
        <w:tc>
          <w:tcPr>
            <w:tcW w:type="dxa" w:w="1800"/>
          </w:tcPr>
          <w:p>
            <w:pPr>
              <w:jc w:val="center"/>
            </w:pPr>
            <w:r/>
            <w:r>
              <w:rPr>
                <w:rFonts w:ascii="Times New Roman" w:hAnsi="Times New Roman"/>
                <w:b w:val="0"/>
                <w:i w:val="0"/>
                <w:sz w:val="20"/>
              </w:rPr>
              <w:t>152.6</w:t>
            </w:r>
          </w:p>
        </w:tc>
        <w:tc>
          <w:tcPr>
            <w:tcW w:type="dxa" w:w="1800"/>
          </w:tcPr>
          <w:p>
            <w:pPr>
              <w:jc w:val="center"/>
            </w:pPr>
            <w:r/>
            <w:r>
              <w:rPr>
                <w:rFonts w:ascii="Times New Roman" w:hAnsi="Times New Roman"/>
                <w:b w:val="0"/>
                <w:i w:val="0"/>
                <w:sz w:val="20"/>
              </w:rPr>
              <w:t>24.1</w:t>
            </w:r>
          </w:p>
        </w:tc>
        <w:tc>
          <w:tcPr>
            <w:tcW w:type="dxa" w:w="1800"/>
          </w:tcPr>
          <w:p>
            <w:pPr>
              <w:jc w:val="center"/>
            </w:pPr>
            <w:r/>
            <w:r>
              <w:rPr>
                <w:rFonts w:ascii="Times New Roman" w:hAnsi="Times New Roman"/>
                <w:b w:val="0"/>
                <w:i w:val="0"/>
                <w:sz w:val="20"/>
              </w:rPr>
              <w:t>92</w:t>
            </w:r>
          </w:p>
        </w:tc>
        <w:tc>
          <w:tcPr>
            <w:tcW w:type="dxa" w:w="1800"/>
          </w:tcPr>
          <w:p>
            <w:pPr>
              <w:jc w:val="center"/>
            </w:pPr>
            <w:r/>
            <w:r>
              <w:rPr>
                <w:rFonts w:ascii="Times New Roman" w:hAnsi="Times New Roman"/>
                <w:b w:val="0"/>
                <w:i w:val="0"/>
                <w:sz w:val="20"/>
              </w:rPr>
              <w:t>198</w:t>
            </w:r>
          </w:p>
        </w:tc>
      </w:tr>
      <w:tr>
        <w:tc>
          <w:tcPr>
            <w:tcW w:type="dxa" w:w="1800"/>
          </w:tcPr>
          <w:p>
            <w:pPr>
              <w:jc w:val="center"/>
            </w:pPr>
            <w:r/>
            <w:r>
              <w:rPr>
                <w:rFonts w:ascii="Times New Roman" w:hAnsi="Times New Roman"/>
                <w:b w:val="0"/>
                <w:i w:val="0"/>
                <w:sz w:val="20"/>
              </w:rPr>
              <w:t>Mean session duration (minutes)</w:t>
            </w:r>
          </w:p>
        </w:tc>
        <w:tc>
          <w:tcPr>
            <w:tcW w:type="dxa" w:w="1800"/>
          </w:tcPr>
          <w:p>
            <w:pPr>
              <w:jc w:val="center"/>
            </w:pPr>
            <w:r/>
            <w:r>
              <w:rPr>
                <w:rFonts w:ascii="Times New Roman" w:hAnsi="Times New Roman"/>
                <w:b w:val="0"/>
                <w:i w:val="0"/>
                <w:sz w:val="20"/>
              </w:rPr>
              <w:t>30.5</w:t>
            </w:r>
          </w:p>
        </w:tc>
        <w:tc>
          <w:tcPr>
            <w:tcW w:type="dxa" w:w="1800"/>
          </w:tcPr>
          <w:p>
            <w:pPr>
              <w:jc w:val="center"/>
            </w:pPr>
            <w:r/>
            <w:r>
              <w:rPr>
                <w:rFonts w:ascii="Times New Roman" w:hAnsi="Times New Roman"/>
                <w:b w:val="0"/>
                <w:i w:val="0"/>
                <w:sz w:val="20"/>
              </w:rPr>
              <w:t>3.7</w:t>
            </w:r>
          </w:p>
        </w:tc>
        <w:tc>
          <w:tcPr>
            <w:tcW w:type="dxa" w:w="1800"/>
          </w:tcPr>
          <w:p>
            <w:pPr>
              <w:jc w:val="center"/>
            </w:pPr>
            <w:r/>
            <w:r>
              <w:rPr>
                <w:rFonts w:ascii="Times New Roman" w:hAnsi="Times New Roman"/>
                <w:b w:val="0"/>
                <w:i w:val="0"/>
                <w:sz w:val="20"/>
              </w:rPr>
              <w:t>21.3</w:t>
            </w:r>
          </w:p>
        </w:tc>
        <w:tc>
          <w:tcPr>
            <w:tcW w:type="dxa" w:w="1800"/>
          </w:tcPr>
          <w:p>
            <w:pPr>
              <w:jc w:val="center"/>
            </w:pPr>
            <w:r/>
            <w:r>
              <w:rPr>
                <w:rFonts w:ascii="Times New Roman" w:hAnsi="Times New Roman"/>
                <w:b w:val="0"/>
                <w:i w:val="0"/>
                <w:sz w:val="20"/>
              </w:rPr>
              <w:t>39.2</w:t>
            </w:r>
          </w:p>
        </w:tc>
      </w:tr>
      <w:tr>
        <w:tc>
          <w:tcPr>
            <w:tcW w:type="dxa" w:w="1800"/>
          </w:tcPr>
          <w:p>
            <w:pPr>
              <w:jc w:val="center"/>
            </w:pPr>
            <w:r/>
            <w:r>
              <w:rPr>
                <w:rFonts w:ascii="Times New Roman" w:hAnsi="Times New Roman"/>
                <w:b w:val="0"/>
                <w:i w:val="0"/>
                <w:sz w:val="20"/>
              </w:rPr>
              <w:t>Quiz attempts per lesson (mean)</w:t>
            </w:r>
          </w:p>
        </w:tc>
        <w:tc>
          <w:tcPr>
            <w:tcW w:type="dxa" w:w="1800"/>
          </w:tcPr>
          <w:p>
            <w:pPr>
              <w:jc w:val="center"/>
            </w:pPr>
            <w:r/>
            <w:r>
              <w:rPr>
                <w:rFonts w:ascii="Times New Roman" w:hAnsi="Times New Roman"/>
                <w:b w:val="0"/>
                <w:i w:val="0"/>
                <w:sz w:val="20"/>
              </w:rPr>
              <w:t>1.47</w:t>
            </w:r>
          </w:p>
        </w:tc>
        <w:tc>
          <w:tcPr>
            <w:tcW w:type="dxa" w:w="1800"/>
          </w:tcPr>
          <w:p>
            <w:pPr>
              <w:jc w:val="center"/>
            </w:pPr>
            <w:r/>
            <w:r>
              <w:rPr>
                <w:rFonts w:ascii="Times New Roman" w:hAnsi="Times New Roman"/>
                <w:b w:val="0"/>
                <w:i w:val="0"/>
                <w:sz w:val="20"/>
              </w:rPr>
              <w:t>0.38</w:t>
            </w:r>
          </w:p>
        </w:tc>
        <w:tc>
          <w:tcPr>
            <w:tcW w:type="dxa" w:w="1800"/>
          </w:tcPr>
          <w:p>
            <w:pPr>
              <w:jc w:val="center"/>
            </w:pPr>
            <w:r/>
            <w:r>
              <w:rPr>
                <w:rFonts w:ascii="Times New Roman" w:hAnsi="Times New Roman"/>
                <w:b w:val="0"/>
                <w:i w:val="0"/>
                <w:sz w:val="20"/>
              </w:rPr>
              <w:t>1.00</w:t>
            </w:r>
          </w:p>
        </w:tc>
        <w:tc>
          <w:tcPr>
            <w:tcW w:type="dxa" w:w="1800"/>
          </w:tcPr>
          <w:p>
            <w:pPr>
              <w:jc w:val="center"/>
            </w:pPr>
            <w:r/>
            <w:r>
              <w:rPr>
                <w:rFonts w:ascii="Times New Roman" w:hAnsi="Times New Roman"/>
                <w:b w:val="0"/>
                <w:i w:val="0"/>
                <w:sz w:val="20"/>
              </w:rPr>
              <w:t>3.20</w:t>
            </w:r>
          </w:p>
        </w:tc>
      </w:tr>
      <w:tr>
        <w:tc>
          <w:tcPr>
            <w:tcW w:type="dxa" w:w="1800"/>
          </w:tcPr>
          <w:p>
            <w:pPr>
              <w:jc w:val="center"/>
            </w:pPr>
            <w:r/>
            <w:r>
              <w:rPr>
                <w:rFonts w:ascii="Times New Roman" w:hAnsi="Times New Roman"/>
                <w:b w:val="0"/>
                <w:i w:val="0"/>
                <w:sz w:val="20"/>
              </w:rPr>
              <w:t>Pupils with ≥1 voluntary extension</w:t>
            </w:r>
          </w:p>
        </w:tc>
        <w:tc>
          <w:tcPr>
            <w:tcW w:type="dxa" w:w="1800"/>
          </w:tcPr>
          <w:p>
            <w:pPr>
              <w:jc w:val="center"/>
            </w:pPr>
            <w:r/>
            <w:r>
              <w:rPr>
                <w:rFonts w:ascii="Times New Roman" w:hAnsi="Times New Roman"/>
                <w:b w:val="0"/>
                <w:i w:val="0"/>
                <w:sz w:val="20"/>
              </w:rPr>
              <w:t>38 (59.4%)</w:t>
            </w:r>
          </w:p>
        </w:tc>
        <w:tc>
          <w:tcPr>
            <w:tcW w:type="dxa" w:w="1800"/>
          </w:tcPr>
          <w:p>
            <w:pPr>
              <w:jc w:val="center"/>
            </w:pPr>
            <w:r/>
            <w:r>
              <w:rPr>
                <w:rFonts w:ascii="Times New Roman" w:hAnsi="Times New Roman"/>
                <w:b w:val="0"/>
                <w:i w:val="0"/>
                <w:sz w:val="20"/>
              </w:rPr>
              <w:t>—</w:t>
            </w:r>
          </w:p>
        </w:tc>
        <w:tc>
          <w:tcPr>
            <w:tcW w:type="dxa" w:w="1800"/>
          </w:tcPr>
          <w:p>
            <w:pPr>
              <w:jc w:val="center"/>
            </w:pPr>
            <w:r/>
            <w:r>
              <w:rPr>
                <w:rFonts w:ascii="Times New Roman" w:hAnsi="Times New Roman"/>
                <w:b w:val="0"/>
                <w:i w:val="0"/>
                <w:sz w:val="20"/>
              </w:rPr>
              <w:t>—</w:t>
            </w:r>
          </w:p>
        </w:tc>
        <w:tc>
          <w:tcPr>
            <w:tcW w:type="dxa" w:w="1800"/>
          </w:tcPr>
          <w:p>
            <w:pPr>
              <w:jc w:val="center"/>
            </w:pPr>
            <w:r/>
            <w:r>
              <w:rPr>
                <w:rFonts w:ascii="Times New Roman" w:hAnsi="Times New Roman"/>
                <w:b w:val="0"/>
                <w:i w:val="0"/>
                <w:sz w:val="20"/>
              </w:rPr>
              <w:t>—</w:t>
            </w:r>
          </w:p>
        </w:tc>
      </w:tr>
    </w:tbl>
    <w:p>
      <w:pPr>
        <w:spacing w:after="120"/>
      </w:pPr>
    </w:p>
    <w:p>
      <w:pPr>
        <w:spacing w:before="280" w:after="200" w:line="360" w:lineRule="auto"/>
        <w:ind w:firstLine="0"/>
        <w:jc w:val="left"/>
      </w:pPr>
      <w:r>
        <w:rPr>
          <w:rFonts w:ascii="Times New Roman" w:hAnsi="Times New Roman"/>
          <w:b/>
          <w:i w:val="0"/>
          <w:sz w:val="24"/>
        </w:rPr>
        <w:t>4.5.2 XP, levels, stars and daily intensity</w:t>
      </w:r>
    </w:p>
    <w:p>
      <w:pPr>
        <w:spacing w:after="160" w:before="0" w:line="360" w:lineRule="auto"/>
        <w:ind w:firstLine="720"/>
        <w:jc w:val="both"/>
      </w:pPr>
      <w:r>
        <w:rPr>
          <w:rFonts w:ascii="Times New Roman" w:hAnsi="Times New Roman"/>
          <w:b w:val="0"/>
          <w:i w:val="0"/>
          <w:sz w:val="24"/>
        </w:rPr>
        <w:t>In SkulKid, level rises by one for every 500 XP, starting from Level 1. Titles move from Beginner Explorer through Curious Learner, Knowledge Explorer, Rising Scholar, Learning Champion and Master Scholar as XP grows. Stars mark lesson quality (1 for completion, 2 at ≥70%, 3 at ≥90%) and do not fall when a pupil retries. Core XP rules used during the study included 10 XP for a first-try correct answer, 5 XP after a retry, 30 XP for finishing a lesson, 20 XP for a perfect lesson, 15 XP for beating a previous score, 25 XP for hitting the daily learning goal, and 50 XP for a seven-day streak bonus. Class quizzes added their own XP on top of platform lesson XP.</w:t>
      </w:r>
    </w:p>
    <w:p>
      <w:pPr>
        <w:spacing w:after="160" w:before="0" w:line="360" w:lineRule="auto"/>
        <w:ind w:firstLine="720"/>
        <w:jc w:val="both"/>
      </w:pPr>
      <w:r>
        <w:rPr>
          <w:rFonts w:ascii="Times New Roman" w:hAnsi="Times New Roman"/>
          <w:b w:val="0"/>
          <w:i w:val="0"/>
          <w:sz w:val="24"/>
        </w:rPr>
        <w:t>Mean total XP by Friday was 808 (SD = 161; range 420–1,240). Because each level needs 500 XP, most active pupils reached Level 2 during the week, and those who crossed 500 XP unlocked the XP Champion achievement. Daily XP rose from 132 on Monday to 188 on Friday (a 42.4% rise across the five days). Engagement did not fade after the first day, which argues against a pure novelty spike within the observation window.</w:t>
      </w:r>
    </w:p>
    <w:p>
      <w:pPr>
        <w:spacing w:after="120" w:before="200" w:line="360" w:lineRule="auto"/>
        <w:jc w:val="center"/>
      </w:pPr>
      <w:r>
        <w:rPr>
          <w:rFonts w:ascii="Times New Roman" w:hAnsi="Times New Roman"/>
          <w:b/>
          <w:i w:val="0"/>
          <w:sz w:val="22"/>
        </w:rPr>
        <w:t>Table 4.6: Daily XP accumulation during the observation week (experimental group, n = 64)</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jc w:val="center"/>
            </w:pPr>
            <w:r/>
            <w:r>
              <w:rPr>
                <w:rFonts w:ascii="Times New Roman" w:hAnsi="Times New Roman"/>
                <w:b/>
                <w:i w:val="0"/>
                <w:sz w:val="20"/>
              </w:rPr>
              <w:t>Day</w:t>
            </w:r>
          </w:p>
        </w:tc>
        <w:tc>
          <w:tcPr>
            <w:tcW w:type="dxa" w:w="1800"/>
          </w:tcPr>
          <w:p>
            <w:pPr>
              <w:jc w:val="center"/>
            </w:pPr>
            <w:r/>
            <w:r>
              <w:rPr>
                <w:rFonts w:ascii="Times New Roman" w:hAnsi="Times New Roman"/>
                <w:b/>
                <w:i w:val="0"/>
                <w:sz w:val="20"/>
              </w:rPr>
              <w:t>Mean XP earned</w:t>
            </w:r>
          </w:p>
        </w:tc>
        <w:tc>
          <w:tcPr>
            <w:tcW w:type="dxa" w:w="1800"/>
          </w:tcPr>
          <w:p>
            <w:pPr>
              <w:jc w:val="center"/>
            </w:pPr>
            <w:r/>
            <w:r>
              <w:rPr>
                <w:rFonts w:ascii="Times New Roman" w:hAnsi="Times New Roman"/>
                <w:b/>
                <w:i w:val="0"/>
                <w:sz w:val="20"/>
              </w:rPr>
              <w:t>SD</w:t>
            </w:r>
          </w:p>
        </w:tc>
        <w:tc>
          <w:tcPr>
            <w:tcW w:type="dxa" w:w="1800"/>
          </w:tcPr>
          <w:p>
            <w:pPr>
              <w:jc w:val="center"/>
            </w:pPr>
            <w:r/>
            <w:r>
              <w:rPr>
                <w:rFonts w:ascii="Times New Roman" w:hAnsi="Times New Roman"/>
                <w:b/>
                <w:i w:val="0"/>
                <w:sz w:val="20"/>
              </w:rPr>
              <w:t>Mean cumulative XP</w:t>
            </w:r>
          </w:p>
        </w:tc>
        <w:tc>
          <w:tcPr>
            <w:tcW w:type="dxa" w:w="1800"/>
          </w:tcPr>
          <w:p>
            <w:pPr>
              <w:jc w:val="center"/>
            </w:pPr>
            <w:r/>
            <w:r>
              <w:rPr>
                <w:rFonts w:ascii="Times New Roman" w:hAnsi="Times New Roman"/>
                <w:b/>
                <w:i w:val="0"/>
                <w:sz w:val="20"/>
              </w:rPr>
              <w:t>% at Level 2+</w:t>
            </w:r>
          </w:p>
        </w:tc>
      </w:tr>
      <w:tr>
        <w:tc>
          <w:tcPr>
            <w:tcW w:type="dxa" w:w="1800"/>
          </w:tcPr>
          <w:p>
            <w:pPr>
              <w:jc w:val="center"/>
            </w:pPr>
            <w:r/>
            <w:r>
              <w:rPr>
                <w:rFonts w:ascii="Times New Roman" w:hAnsi="Times New Roman"/>
                <w:b w:val="0"/>
                <w:i w:val="0"/>
                <w:sz w:val="20"/>
              </w:rPr>
              <w:t>Monday</w:t>
            </w:r>
          </w:p>
        </w:tc>
        <w:tc>
          <w:tcPr>
            <w:tcW w:type="dxa" w:w="1800"/>
          </w:tcPr>
          <w:p>
            <w:pPr>
              <w:jc w:val="center"/>
            </w:pPr>
            <w:r/>
            <w:r>
              <w:rPr>
                <w:rFonts w:ascii="Times New Roman" w:hAnsi="Times New Roman"/>
                <w:b w:val="0"/>
                <w:i w:val="0"/>
                <w:sz w:val="20"/>
              </w:rPr>
              <w:t>132</w:t>
            </w:r>
          </w:p>
        </w:tc>
        <w:tc>
          <w:tcPr>
            <w:tcW w:type="dxa" w:w="1800"/>
          </w:tcPr>
          <w:p>
            <w:pPr>
              <w:jc w:val="center"/>
            </w:pPr>
            <w:r/>
            <w:r>
              <w:rPr>
                <w:rFonts w:ascii="Times New Roman" w:hAnsi="Times New Roman"/>
                <w:b w:val="0"/>
                <w:i w:val="0"/>
                <w:sz w:val="20"/>
              </w:rPr>
              <w:t>28</w:t>
            </w:r>
          </w:p>
        </w:tc>
        <w:tc>
          <w:tcPr>
            <w:tcW w:type="dxa" w:w="1800"/>
          </w:tcPr>
          <w:p>
            <w:pPr>
              <w:jc w:val="center"/>
            </w:pPr>
            <w:r/>
            <w:r>
              <w:rPr>
                <w:rFonts w:ascii="Times New Roman" w:hAnsi="Times New Roman"/>
                <w:b w:val="0"/>
                <w:i w:val="0"/>
                <w:sz w:val="20"/>
              </w:rPr>
              <w:t>132</w:t>
            </w:r>
          </w:p>
        </w:tc>
        <w:tc>
          <w:tcPr>
            <w:tcW w:type="dxa" w:w="1800"/>
          </w:tcPr>
          <w:p>
            <w:pPr>
              <w:jc w:val="center"/>
            </w:pPr>
            <w:r/>
            <w:r>
              <w:rPr>
                <w:rFonts w:ascii="Times New Roman" w:hAnsi="Times New Roman"/>
                <w:b w:val="0"/>
                <w:i w:val="0"/>
                <w:sz w:val="20"/>
              </w:rPr>
              <w:t>0.0%</w:t>
            </w:r>
          </w:p>
        </w:tc>
      </w:tr>
      <w:tr>
        <w:tc>
          <w:tcPr>
            <w:tcW w:type="dxa" w:w="1800"/>
          </w:tcPr>
          <w:p>
            <w:pPr>
              <w:jc w:val="center"/>
            </w:pPr>
            <w:r/>
            <w:r>
              <w:rPr>
                <w:rFonts w:ascii="Times New Roman" w:hAnsi="Times New Roman"/>
                <w:b w:val="0"/>
                <w:i w:val="0"/>
                <w:sz w:val="20"/>
              </w:rPr>
              <w:t>Tuesday</w:t>
            </w:r>
          </w:p>
        </w:tc>
        <w:tc>
          <w:tcPr>
            <w:tcW w:type="dxa" w:w="1800"/>
          </w:tcPr>
          <w:p>
            <w:pPr>
              <w:jc w:val="center"/>
            </w:pPr>
            <w:r/>
            <w:r>
              <w:rPr>
                <w:rFonts w:ascii="Times New Roman" w:hAnsi="Times New Roman"/>
                <w:b w:val="0"/>
                <w:i w:val="0"/>
                <w:sz w:val="20"/>
              </w:rPr>
              <w:t>148</w:t>
            </w:r>
          </w:p>
        </w:tc>
        <w:tc>
          <w:tcPr>
            <w:tcW w:type="dxa" w:w="1800"/>
          </w:tcPr>
          <w:p>
            <w:pPr>
              <w:jc w:val="center"/>
            </w:pPr>
            <w:r/>
            <w:r>
              <w:rPr>
                <w:rFonts w:ascii="Times New Roman" w:hAnsi="Times New Roman"/>
                <w:b w:val="0"/>
                <w:i w:val="0"/>
                <w:sz w:val="20"/>
              </w:rPr>
              <w:t>31</w:t>
            </w:r>
          </w:p>
        </w:tc>
        <w:tc>
          <w:tcPr>
            <w:tcW w:type="dxa" w:w="1800"/>
          </w:tcPr>
          <w:p>
            <w:pPr>
              <w:jc w:val="center"/>
            </w:pPr>
            <w:r/>
            <w:r>
              <w:rPr>
                <w:rFonts w:ascii="Times New Roman" w:hAnsi="Times New Roman"/>
                <w:b w:val="0"/>
                <w:i w:val="0"/>
                <w:sz w:val="20"/>
              </w:rPr>
              <w:t>280</w:t>
            </w:r>
          </w:p>
        </w:tc>
        <w:tc>
          <w:tcPr>
            <w:tcW w:type="dxa" w:w="1800"/>
          </w:tcPr>
          <w:p>
            <w:pPr>
              <w:jc w:val="center"/>
            </w:pPr>
            <w:r/>
            <w:r>
              <w:rPr>
                <w:rFonts w:ascii="Times New Roman" w:hAnsi="Times New Roman"/>
                <w:b w:val="0"/>
                <w:i w:val="0"/>
                <w:sz w:val="20"/>
              </w:rPr>
              <w:t>3.1%</w:t>
            </w:r>
          </w:p>
        </w:tc>
      </w:tr>
      <w:tr>
        <w:tc>
          <w:tcPr>
            <w:tcW w:type="dxa" w:w="1800"/>
          </w:tcPr>
          <w:p>
            <w:pPr>
              <w:jc w:val="center"/>
            </w:pPr>
            <w:r/>
            <w:r>
              <w:rPr>
                <w:rFonts w:ascii="Times New Roman" w:hAnsi="Times New Roman"/>
                <w:b w:val="0"/>
                <w:i w:val="0"/>
                <w:sz w:val="20"/>
              </w:rPr>
              <w:t>Wednesday</w:t>
            </w:r>
          </w:p>
        </w:tc>
        <w:tc>
          <w:tcPr>
            <w:tcW w:type="dxa" w:w="1800"/>
          </w:tcPr>
          <w:p>
            <w:pPr>
              <w:jc w:val="center"/>
            </w:pPr>
            <w:r/>
            <w:r>
              <w:rPr>
                <w:rFonts w:ascii="Times New Roman" w:hAnsi="Times New Roman"/>
                <w:b w:val="0"/>
                <w:i w:val="0"/>
                <w:sz w:val="20"/>
              </w:rPr>
              <w:t>162</w:t>
            </w:r>
          </w:p>
        </w:tc>
        <w:tc>
          <w:tcPr>
            <w:tcW w:type="dxa" w:w="1800"/>
          </w:tcPr>
          <w:p>
            <w:pPr>
              <w:jc w:val="center"/>
            </w:pPr>
            <w:r/>
            <w:r>
              <w:rPr>
                <w:rFonts w:ascii="Times New Roman" w:hAnsi="Times New Roman"/>
                <w:b w:val="0"/>
                <w:i w:val="0"/>
                <w:sz w:val="20"/>
              </w:rPr>
              <w:t>34</w:t>
            </w:r>
          </w:p>
        </w:tc>
        <w:tc>
          <w:tcPr>
            <w:tcW w:type="dxa" w:w="1800"/>
          </w:tcPr>
          <w:p>
            <w:pPr>
              <w:jc w:val="center"/>
            </w:pPr>
            <w:r/>
            <w:r>
              <w:rPr>
                <w:rFonts w:ascii="Times New Roman" w:hAnsi="Times New Roman"/>
                <w:b w:val="0"/>
                <w:i w:val="0"/>
                <w:sz w:val="20"/>
              </w:rPr>
              <w:t>442</w:t>
            </w:r>
          </w:p>
        </w:tc>
        <w:tc>
          <w:tcPr>
            <w:tcW w:type="dxa" w:w="1800"/>
          </w:tcPr>
          <w:p>
            <w:pPr>
              <w:jc w:val="center"/>
            </w:pPr>
            <w:r/>
            <w:r>
              <w:rPr>
                <w:rFonts w:ascii="Times New Roman" w:hAnsi="Times New Roman"/>
                <w:b w:val="0"/>
                <w:i w:val="0"/>
                <w:sz w:val="20"/>
              </w:rPr>
              <w:t>28.1%</w:t>
            </w:r>
          </w:p>
        </w:tc>
      </w:tr>
      <w:tr>
        <w:tc>
          <w:tcPr>
            <w:tcW w:type="dxa" w:w="1800"/>
          </w:tcPr>
          <w:p>
            <w:pPr>
              <w:jc w:val="center"/>
            </w:pPr>
            <w:r/>
            <w:r>
              <w:rPr>
                <w:rFonts w:ascii="Times New Roman" w:hAnsi="Times New Roman"/>
                <w:b w:val="0"/>
                <w:i w:val="0"/>
                <w:sz w:val="20"/>
              </w:rPr>
              <w:t>Thursday</w:t>
            </w:r>
          </w:p>
        </w:tc>
        <w:tc>
          <w:tcPr>
            <w:tcW w:type="dxa" w:w="1800"/>
          </w:tcPr>
          <w:p>
            <w:pPr>
              <w:jc w:val="center"/>
            </w:pPr>
            <w:r/>
            <w:r>
              <w:rPr>
                <w:rFonts w:ascii="Times New Roman" w:hAnsi="Times New Roman"/>
                <w:b w:val="0"/>
                <w:i w:val="0"/>
                <w:sz w:val="20"/>
              </w:rPr>
              <w:t>178</w:t>
            </w:r>
          </w:p>
        </w:tc>
        <w:tc>
          <w:tcPr>
            <w:tcW w:type="dxa" w:w="1800"/>
          </w:tcPr>
          <w:p>
            <w:pPr>
              <w:jc w:val="center"/>
            </w:pPr>
            <w:r/>
            <w:r>
              <w:rPr>
                <w:rFonts w:ascii="Times New Roman" w:hAnsi="Times New Roman"/>
                <w:b w:val="0"/>
                <w:i w:val="0"/>
                <w:sz w:val="20"/>
              </w:rPr>
              <w:t>38</w:t>
            </w:r>
          </w:p>
        </w:tc>
        <w:tc>
          <w:tcPr>
            <w:tcW w:type="dxa" w:w="1800"/>
          </w:tcPr>
          <w:p>
            <w:pPr>
              <w:jc w:val="center"/>
            </w:pPr>
            <w:r/>
            <w:r>
              <w:rPr>
                <w:rFonts w:ascii="Times New Roman" w:hAnsi="Times New Roman"/>
                <w:b w:val="0"/>
                <w:i w:val="0"/>
                <w:sz w:val="20"/>
              </w:rPr>
              <w:t>620</w:t>
            </w:r>
          </w:p>
        </w:tc>
        <w:tc>
          <w:tcPr>
            <w:tcW w:type="dxa" w:w="1800"/>
          </w:tcPr>
          <w:p>
            <w:pPr>
              <w:jc w:val="center"/>
            </w:pPr>
            <w:r/>
            <w:r>
              <w:rPr>
                <w:rFonts w:ascii="Times New Roman" w:hAnsi="Times New Roman"/>
                <w:b w:val="0"/>
                <w:i w:val="0"/>
                <w:sz w:val="20"/>
              </w:rPr>
              <w:t>64.1%</w:t>
            </w:r>
          </w:p>
        </w:tc>
      </w:tr>
      <w:tr>
        <w:tc>
          <w:tcPr>
            <w:tcW w:type="dxa" w:w="1800"/>
          </w:tcPr>
          <w:p>
            <w:pPr>
              <w:jc w:val="center"/>
            </w:pPr>
            <w:r/>
            <w:r>
              <w:rPr>
                <w:rFonts w:ascii="Times New Roman" w:hAnsi="Times New Roman"/>
                <w:b w:val="0"/>
                <w:i w:val="0"/>
                <w:sz w:val="20"/>
              </w:rPr>
              <w:t>Friday</w:t>
            </w:r>
          </w:p>
        </w:tc>
        <w:tc>
          <w:tcPr>
            <w:tcW w:type="dxa" w:w="1800"/>
          </w:tcPr>
          <w:p>
            <w:pPr>
              <w:jc w:val="center"/>
            </w:pPr>
            <w:r/>
            <w:r>
              <w:rPr>
                <w:rFonts w:ascii="Times New Roman" w:hAnsi="Times New Roman"/>
                <w:b w:val="0"/>
                <w:i w:val="0"/>
                <w:sz w:val="20"/>
              </w:rPr>
              <w:t>188</w:t>
            </w:r>
          </w:p>
        </w:tc>
        <w:tc>
          <w:tcPr>
            <w:tcW w:type="dxa" w:w="1800"/>
          </w:tcPr>
          <w:p>
            <w:pPr>
              <w:jc w:val="center"/>
            </w:pPr>
            <w:r/>
            <w:r>
              <w:rPr>
                <w:rFonts w:ascii="Times New Roman" w:hAnsi="Times New Roman"/>
                <w:b w:val="0"/>
                <w:i w:val="0"/>
                <w:sz w:val="20"/>
              </w:rPr>
              <w:t>41</w:t>
            </w:r>
          </w:p>
        </w:tc>
        <w:tc>
          <w:tcPr>
            <w:tcW w:type="dxa" w:w="1800"/>
          </w:tcPr>
          <w:p>
            <w:pPr>
              <w:jc w:val="center"/>
            </w:pPr>
            <w:r/>
            <w:r>
              <w:rPr>
                <w:rFonts w:ascii="Times New Roman" w:hAnsi="Times New Roman"/>
                <w:b w:val="0"/>
                <w:i w:val="0"/>
                <w:sz w:val="20"/>
              </w:rPr>
              <w:t>808</w:t>
            </w:r>
          </w:p>
        </w:tc>
        <w:tc>
          <w:tcPr>
            <w:tcW w:type="dxa" w:w="1800"/>
          </w:tcPr>
          <w:p>
            <w:pPr>
              <w:jc w:val="center"/>
            </w:pPr>
            <w:r/>
            <w:r>
              <w:rPr>
                <w:rFonts w:ascii="Times New Roman" w:hAnsi="Times New Roman"/>
                <w:b w:val="0"/>
                <w:i w:val="0"/>
                <w:sz w:val="20"/>
              </w:rPr>
              <w:t>79.7%</w:t>
            </w:r>
          </w:p>
        </w:tc>
      </w:tr>
    </w:tbl>
    <w:p>
      <w:pPr>
        <w:spacing w:after="120"/>
      </w:pPr>
    </w:p>
    <w:p>
      <w:pPr>
        <w:spacing w:before="280" w:after="200" w:line="360" w:lineRule="auto"/>
        <w:ind w:firstLine="0"/>
        <w:jc w:val="left"/>
      </w:pPr>
      <w:r>
        <w:rPr>
          <w:rFonts w:ascii="Times New Roman" w:hAnsi="Times New Roman"/>
          <w:b/>
          <w:i w:val="0"/>
          <w:sz w:val="24"/>
        </w:rPr>
        <w:t>4.5.3 Achievements, daily quests and celebrations</w:t>
      </w:r>
    </w:p>
    <w:p>
      <w:pPr>
        <w:spacing w:after="160" w:before="0" w:line="360" w:lineRule="auto"/>
        <w:ind w:firstLine="720"/>
        <w:jc w:val="both"/>
      </w:pPr>
      <w:r>
        <w:rPr>
          <w:rFonts w:ascii="Times New Roman" w:hAnsi="Times New Roman"/>
          <w:b w:val="0"/>
          <w:i w:val="0"/>
          <w:sz w:val="24"/>
        </w:rPr>
        <w:t>Achievements in the live system are fixed and deterministic. The five that pupils can earn are First Step (first lesson), Star Collector (10 stars), Lesson Explorer (five lessons), XP Champion (500 XP), and Surprise Seeker (three mystery bonuses). By Friday, First Step was nearly universal among active users (62 of 64; 96.9%). XP Champion had been earned by 51 pupils (79.7%) once cumulative XP crossed 500. Lesson Explorer was less common in a single week (34 pupils, 53.1%), as expected when only a handful of lessons fit into five sessions. Star Collector (29 pupils, 45.3%) and Surprise Seeker (22 pupils, 34.4%) trailed further behind because they need more stars or repeated mystery rolls.</w:t>
      </w:r>
    </w:p>
    <w:p>
      <w:pPr>
        <w:spacing w:after="160" w:before="0" w:line="360" w:lineRule="auto"/>
        <w:ind w:firstLine="720"/>
        <w:jc w:val="both"/>
      </w:pPr>
      <w:r>
        <w:rPr>
          <w:rFonts w:ascii="Times New Roman" w:hAnsi="Times New Roman"/>
          <w:b w:val="0"/>
          <w:i w:val="0"/>
          <w:sz w:val="24"/>
        </w:rPr>
        <w:t>Daily quests rotate by Accra calendar date and learner ID. On a given day a pupil sees one of three missions: Finish 1 lesson (25 XP), Beat yesterday’s XP (20 XP), or Send a kind class message (15 XP). Mean daily-quest claim rate across the five observation days was 84.7% (SD = 11.3%). The social quest mattered: pupils who drew “kind message” still claimed it on most of those days, which matches the chat activity reported in Section 4.5.5.</w:t>
      </w:r>
    </w:p>
    <w:p>
      <w:pPr>
        <w:spacing w:after="160" w:before="0" w:line="360" w:lineRule="auto"/>
        <w:ind w:firstLine="720"/>
        <w:jc w:val="both"/>
      </w:pPr>
      <w:r>
        <w:rPr>
          <w:rFonts w:ascii="Times New Roman" w:hAnsi="Times New Roman"/>
          <w:b w:val="0"/>
          <w:i w:val="0"/>
          <w:sz w:val="24"/>
        </w:rPr>
        <w:t>When rewards land, SkulKid shows a short celebration overlay (lesson done, quiz passed, daily gift, quest claim, or teacher bonus). Teachers told us these moments were useful in class because children could see why points moved. A few pupils still asked how XP was calculated; the questionnaire item on XP transparency was the weakest gamification rating (see Section 4.7).</w:t>
      </w:r>
    </w:p>
    <w:p>
      <w:pPr>
        <w:spacing w:before="280" w:after="200" w:line="360" w:lineRule="auto"/>
        <w:ind w:firstLine="0"/>
        <w:jc w:val="left"/>
      </w:pPr>
      <w:r>
        <w:rPr>
          <w:rFonts w:ascii="Times New Roman" w:hAnsi="Times New Roman"/>
          <w:b/>
          <w:i w:val="0"/>
          <w:sz w:val="24"/>
        </w:rPr>
        <w:t>4.5.4 Streaks and daily goals</w:t>
      </w:r>
    </w:p>
    <w:p>
      <w:pPr>
        <w:spacing w:after="160" w:before="0" w:line="360" w:lineRule="auto"/>
        <w:ind w:firstLine="720"/>
        <w:jc w:val="both"/>
      </w:pPr>
      <w:r>
        <w:rPr>
          <w:rFonts w:ascii="Times New Roman" w:hAnsi="Times New Roman"/>
          <w:b w:val="0"/>
          <w:i w:val="0"/>
          <w:sz w:val="24"/>
        </w:rPr>
        <w:t>A pupil’s streak grows when they hit the daily learning XP goal (30 XP) on consecutive Accra days; missing more than one day resets it. Across the five school days, mean maximum streak length was 4.1 days (SD = 1.1). Forty-one pupils (64.1%) reached at least four consecutive days, and 18 pupils (28.1%) kept a five-day streak through the whole observation week.</w:t>
      </w:r>
    </w:p>
    <w:p>
      <w:pPr>
        <w:spacing w:after="160" w:before="0" w:line="360" w:lineRule="auto"/>
        <w:ind w:firstLine="720"/>
        <w:jc w:val="both"/>
      </w:pPr>
      <w:r>
        <w:rPr>
          <w:rFonts w:ascii="Times New Roman" w:hAnsi="Times New Roman"/>
          <w:b w:val="0"/>
          <w:i w:val="0"/>
          <w:sz w:val="24"/>
        </w:rPr>
        <w:t>Longer streaks within the week went with stronger post-test scores after pre-test control (Mathematics r = .52, p &lt; .001; English r = .48, p &lt; .001). That does not prove streaks cause learning, but it fits the spacing idea: coming back often beats cramming once (Cepeda et al., 2006).</w:t>
      </w:r>
    </w:p>
    <w:p>
      <w:pPr>
        <w:spacing w:before="280" w:after="200" w:line="360" w:lineRule="auto"/>
        <w:ind w:firstLine="0"/>
        <w:jc w:val="left"/>
      </w:pPr>
      <w:r>
        <w:rPr>
          <w:rFonts w:ascii="Times New Roman" w:hAnsi="Times New Roman"/>
          <w:b/>
          <w:i w:val="0"/>
          <w:sz w:val="24"/>
        </w:rPr>
        <w:t>4.5.5 Leaderboards, class chat and social features (RQ7)</w:t>
      </w:r>
    </w:p>
    <w:p>
      <w:pPr>
        <w:spacing w:after="160" w:before="0" w:line="360" w:lineRule="auto"/>
        <w:ind w:firstLine="720"/>
        <w:jc w:val="both"/>
      </w:pPr>
      <w:r>
        <w:rPr>
          <w:rFonts w:ascii="Times New Roman" w:hAnsi="Times New Roman"/>
          <w:b w:val="0"/>
          <w:i w:val="0"/>
          <w:sz w:val="24"/>
        </w:rPr>
        <w:t>SkulKid keeps two ranking views. The global “Champions League” ranks learners by platform XP. Each class also has its own board for class-quiz XP, with week and all-time windows. The week’s top earner is shown as cup holder when they have XP above zero. Pupils opened a leaderboard about 3.8 times per session on average (SD = 1.4). Checks peaked on Wednesday and Thursday, when ranks had started to spread but were still movable.</w:t>
      </w:r>
    </w:p>
    <w:p>
      <w:pPr>
        <w:spacing w:after="160" w:before="0" w:line="360" w:lineRule="auto"/>
        <w:ind w:firstLine="720"/>
        <w:jc w:val="both"/>
      </w:pPr>
      <w:r>
        <w:rPr>
          <w:rFonts w:ascii="Times New Roman" w:hAnsi="Times New Roman"/>
          <w:b w:val="0"/>
          <w:i w:val="0"/>
          <w:sz w:val="24"/>
        </w:rPr>
        <w:t>On the questionnaire, “Seeing my rank on the leaderboard makes me want to learn more” averaged 3.94 (SD = 0.87). Only four pupils (6.3%) agreed that the board made them feel bad about their learning. Open comments often mentioned trying to catch the classmate just above them. That behaviour matches how the class board is framed: it is local to the child’s own class rather than a huge public list of strangers.</w:t>
      </w:r>
    </w:p>
    <w:p>
      <w:pPr>
        <w:spacing w:after="160" w:before="0" w:line="360" w:lineRule="auto"/>
        <w:ind w:firstLine="720"/>
        <w:jc w:val="both"/>
      </w:pPr>
      <w:r>
        <w:rPr>
          <w:rFonts w:ascii="Times New Roman" w:hAnsi="Times New Roman"/>
          <w:b w:val="0"/>
          <w:i w:val="0"/>
          <w:sz w:val="24"/>
        </w:rPr>
        <w:t>Class chat gave the social layer more texture than ranking alone. Pupils can react to a message with like, helpful, or celebrate (one reaction per pupil per message). Teachers can attach files; pupils cannot post links or files, which was a deliberate safety rule. During the observation week teachers also used Helper of the Week (crowning one learner for that Accra week) and surprise XP bonuses of 10, 20 or 50 points with a short note, capped at five actions and 100 surprise XP per pupil in 24 hours. Teachers used these tools mainly to recognise effort and kindness, not only high scores. We treat them as part of the classroom gamification ecology rather than as separate experimental arms.</w:t>
      </w:r>
    </w:p>
    <w:p>
      <w:pPr>
        <w:spacing w:before="280" w:after="200" w:line="360" w:lineRule="auto"/>
        <w:ind w:firstLine="0"/>
        <w:jc w:val="left"/>
      </w:pPr>
      <w:r>
        <w:rPr>
          <w:rFonts w:ascii="Times New Roman" w:hAnsi="Times New Roman"/>
          <w:b/>
          <w:i w:val="0"/>
          <w:sz w:val="24"/>
        </w:rPr>
        <w:t>4.6 Adaptive Progression and Classroom Practice Tools (RQ3, RQ4)</w:t>
      </w:r>
    </w:p>
    <w:p>
      <w:pPr>
        <w:spacing w:after="160" w:before="0" w:line="360" w:lineRule="auto"/>
        <w:ind w:firstLine="720"/>
        <w:jc w:val="both"/>
      </w:pPr>
      <w:r>
        <w:rPr>
          <w:rFonts w:ascii="Times New Roman" w:hAnsi="Times New Roman"/>
          <w:b w:val="0"/>
          <w:i w:val="0"/>
          <w:sz w:val="24"/>
        </w:rPr>
        <w:t>SkulKid’s adaptation engine is deliberately simple and explainable. Machine-learning classifiers were considered early in the project and rejected for Phase 1 because teachers and pupils need to understand why a lesson stays locked. The live rule set is score-banded:</w:t>
      </w:r>
    </w:p>
    <w:p>
      <w:pPr>
        <w:spacing w:after="160" w:before="0" w:line="360" w:lineRule="auto"/>
        <w:jc w:val="both"/>
      </w:pPr>
      <w:r>
        <w:rPr>
          <w:rFonts w:ascii="Times New Roman" w:hAnsi="Times New Roman"/>
          <w:b w:val="0"/>
          <w:i w:val="0"/>
          <w:sz w:val="24"/>
        </w:rPr>
        <w:t>• Score ≥ 80%: status mastered; next lesson unlocks; recommendation continue.</w:t>
        <w:br/>
        <w:t>• Score 50–79%: status completed; next lesson unlocks; recommendation targeted practice with hints.</w:t>
        <w:br/>
        <w:t>• Score &lt; 50%: revision required; next lesson stays locked; recommendation remedial review.</w:t>
      </w:r>
    </w:p>
    <w:p>
      <w:pPr>
        <w:spacing w:after="160" w:before="0" w:line="360" w:lineRule="auto"/>
        <w:ind w:firstLine="720"/>
        <w:jc w:val="both"/>
      </w:pPr>
      <w:r>
        <w:rPr>
          <w:rFonts w:ascii="Times New Roman" w:hAnsi="Times New Roman"/>
          <w:b w:val="0"/>
          <w:i w:val="0"/>
          <w:sz w:val="24"/>
        </w:rPr>
        <w:t>Prerequisite and strand gates sit on top of that rule: a later lesson only opens when earlier required work is completed or mastered. Class quizzes use their own pass mark (default 70%), attempt limit (default three), and deadline. When a class quiz ends, it moves into PASCO mode so pupils can revise the same paper for practice without changing XP, stars, attempt counts or leaderboard standing.</w:t>
      </w:r>
    </w:p>
    <w:p>
      <w:pPr>
        <w:spacing w:before="280" w:after="200" w:line="360" w:lineRule="auto"/>
        <w:ind w:firstLine="0"/>
        <w:jc w:val="left"/>
      </w:pPr>
      <w:r>
        <w:rPr>
          <w:rFonts w:ascii="Times New Roman" w:hAnsi="Times New Roman"/>
          <w:b/>
          <w:i w:val="0"/>
          <w:sz w:val="24"/>
        </w:rPr>
        <w:t>4.6.1 Quiz pathways across the observation week</w:t>
      </w:r>
    </w:p>
    <w:p>
      <w:pPr>
        <w:spacing w:after="160" w:before="0" w:line="360" w:lineRule="auto"/>
        <w:ind w:firstLine="720"/>
        <w:jc w:val="both"/>
      </w:pPr>
      <w:r>
        <w:rPr>
          <w:rFonts w:ascii="Times New Roman" w:hAnsi="Times New Roman"/>
          <w:b w:val="0"/>
          <w:i w:val="0"/>
          <w:sz w:val="24"/>
        </w:rPr>
        <w:t>The experimental group logged 641 scored attempts during the week (mean 10.0 per pupil, SD = 2.1). Using the platform’s adaptation bands, 52.3% landed in Unlock / continue (≥80%), 31.4% in Practice more (50–79%), and 16.3% in Retry / revise (&lt;50%). Retry share fell from 23.1% on Monday to 9.4% on Friday, while Unlock rose from 46.2% to 57.9%. That day-to-day shift is what we hoped to see if mastery rules were doing real work even inside a short observation window.</w:t>
      </w:r>
    </w:p>
    <w:p>
      <w:pPr>
        <w:spacing w:after="120" w:before="200" w:line="360" w:lineRule="auto"/>
        <w:jc w:val="center"/>
      </w:pPr>
      <w:r>
        <w:rPr>
          <w:rFonts w:ascii="Times New Roman" w:hAnsi="Times New Roman"/>
          <w:b/>
          <w:i w:val="0"/>
          <w:sz w:val="22"/>
        </w:rPr>
        <w:t>Table 4.7: Adaptive pathway distribution by day</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jc w:val="center"/>
            </w:pPr>
            <w:r/>
            <w:r>
              <w:rPr>
                <w:rFonts w:ascii="Times New Roman" w:hAnsi="Times New Roman"/>
                <w:b/>
                <w:i w:val="0"/>
                <w:sz w:val="20"/>
              </w:rPr>
              <w:t>Day</w:t>
            </w:r>
          </w:p>
        </w:tc>
        <w:tc>
          <w:tcPr>
            <w:tcW w:type="dxa" w:w="1800"/>
          </w:tcPr>
          <w:p>
            <w:pPr>
              <w:jc w:val="center"/>
            </w:pPr>
            <w:r/>
            <w:r>
              <w:rPr>
                <w:rFonts w:ascii="Times New Roman" w:hAnsi="Times New Roman"/>
                <w:b/>
                <w:i w:val="0"/>
                <w:sz w:val="20"/>
              </w:rPr>
              <w:t>Attempts</w:t>
            </w:r>
          </w:p>
        </w:tc>
        <w:tc>
          <w:tcPr>
            <w:tcW w:type="dxa" w:w="1800"/>
          </w:tcPr>
          <w:p>
            <w:pPr>
              <w:jc w:val="center"/>
            </w:pPr>
            <w:r/>
            <w:r>
              <w:rPr>
                <w:rFonts w:ascii="Times New Roman" w:hAnsi="Times New Roman"/>
                <w:b/>
                <w:i w:val="0"/>
                <w:sz w:val="20"/>
              </w:rPr>
              <w:t>Unlock (≥80%)</w:t>
            </w:r>
          </w:p>
        </w:tc>
        <w:tc>
          <w:tcPr>
            <w:tcW w:type="dxa" w:w="1800"/>
          </w:tcPr>
          <w:p>
            <w:pPr>
              <w:jc w:val="center"/>
            </w:pPr>
            <w:r/>
            <w:r>
              <w:rPr>
                <w:rFonts w:ascii="Times New Roman" w:hAnsi="Times New Roman"/>
                <w:b/>
                <w:i w:val="0"/>
                <w:sz w:val="20"/>
              </w:rPr>
              <w:t>Practice (50–79%)</w:t>
            </w:r>
          </w:p>
        </w:tc>
        <w:tc>
          <w:tcPr>
            <w:tcW w:type="dxa" w:w="1800"/>
          </w:tcPr>
          <w:p>
            <w:pPr>
              <w:jc w:val="center"/>
            </w:pPr>
            <w:r/>
            <w:r>
              <w:rPr>
                <w:rFonts w:ascii="Times New Roman" w:hAnsi="Times New Roman"/>
                <w:b/>
                <w:i w:val="0"/>
                <w:sz w:val="20"/>
              </w:rPr>
              <w:t>Retry (&lt;50%)</w:t>
            </w:r>
          </w:p>
        </w:tc>
      </w:tr>
      <w:tr>
        <w:tc>
          <w:tcPr>
            <w:tcW w:type="dxa" w:w="1800"/>
          </w:tcPr>
          <w:p>
            <w:pPr>
              <w:jc w:val="center"/>
            </w:pPr>
            <w:r/>
            <w:r>
              <w:rPr>
                <w:rFonts w:ascii="Times New Roman" w:hAnsi="Times New Roman"/>
                <w:b w:val="0"/>
                <w:i w:val="0"/>
                <w:sz w:val="20"/>
              </w:rPr>
              <w:t>Monday</w:t>
            </w:r>
          </w:p>
        </w:tc>
        <w:tc>
          <w:tcPr>
            <w:tcW w:type="dxa" w:w="1800"/>
          </w:tcPr>
          <w:p>
            <w:pPr>
              <w:jc w:val="center"/>
            </w:pPr>
            <w:r/>
            <w:r>
              <w:rPr>
                <w:rFonts w:ascii="Times New Roman" w:hAnsi="Times New Roman"/>
                <w:b w:val="0"/>
                <w:i w:val="0"/>
                <w:sz w:val="20"/>
              </w:rPr>
              <w:t>118</w:t>
            </w:r>
          </w:p>
        </w:tc>
        <w:tc>
          <w:tcPr>
            <w:tcW w:type="dxa" w:w="1800"/>
          </w:tcPr>
          <w:p>
            <w:pPr>
              <w:jc w:val="center"/>
            </w:pPr>
            <w:r/>
            <w:r>
              <w:rPr>
                <w:rFonts w:ascii="Times New Roman" w:hAnsi="Times New Roman"/>
                <w:b w:val="0"/>
                <w:i w:val="0"/>
                <w:sz w:val="20"/>
              </w:rPr>
              <w:t>46.2%</w:t>
            </w:r>
          </w:p>
        </w:tc>
        <w:tc>
          <w:tcPr>
            <w:tcW w:type="dxa" w:w="1800"/>
          </w:tcPr>
          <w:p>
            <w:pPr>
              <w:jc w:val="center"/>
            </w:pPr>
            <w:r/>
            <w:r>
              <w:rPr>
                <w:rFonts w:ascii="Times New Roman" w:hAnsi="Times New Roman"/>
                <w:b w:val="0"/>
                <w:i w:val="0"/>
                <w:sz w:val="20"/>
              </w:rPr>
              <w:t>30.7%</w:t>
            </w:r>
          </w:p>
        </w:tc>
        <w:tc>
          <w:tcPr>
            <w:tcW w:type="dxa" w:w="1800"/>
          </w:tcPr>
          <w:p>
            <w:pPr>
              <w:jc w:val="center"/>
            </w:pPr>
            <w:r/>
            <w:r>
              <w:rPr>
                <w:rFonts w:ascii="Times New Roman" w:hAnsi="Times New Roman"/>
                <w:b w:val="0"/>
                <w:i w:val="0"/>
                <w:sz w:val="20"/>
              </w:rPr>
              <w:t>23.1%</w:t>
            </w:r>
          </w:p>
        </w:tc>
      </w:tr>
      <w:tr>
        <w:tc>
          <w:tcPr>
            <w:tcW w:type="dxa" w:w="1800"/>
          </w:tcPr>
          <w:p>
            <w:pPr>
              <w:jc w:val="center"/>
            </w:pPr>
            <w:r/>
            <w:r>
              <w:rPr>
                <w:rFonts w:ascii="Times New Roman" w:hAnsi="Times New Roman"/>
                <w:b w:val="0"/>
                <w:i w:val="0"/>
                <w:sz w:val="20"/>
              </w:rPr>
              <w:t>Tuesday</w:t>
            </w:r>
          </w:p>
        </w:tc>
        <w:tc>
          <w:tcPr>
            <w:tcW w:type="dxa" w:w="1800"/>
          </w:tcPr>
          <w:p>
            <w:pPr>
              <w:jc w:val="center"/>
            </w:pPr>
            <w:r/>
            <w:r>
              <w:rPr>
                <w:rFonts w:ascii="Times New Roman" w:hAnsi="Times New Roman"/>
                <w:b w:val="0"/>
                <w:i w:val="0"/>
                <w:sz w:val="20"/>
              </w:rPr>
              <w:t>124</w:t>
            </w:r>
          </w:p>
        </w:tc>
        <w:tc>
          <w:tcPr>
            <w:tcW w:type="dxa" w:w="1800"/>
          </w:tcPr>
          <w:p>
            <w:pPr>
              <w:jc w:val="center"/>
            </w:pPr>
            <w:r/>
            <w:r>
              <w:rPr>
                <w:rFonts w:ascii="Times New Roman" w:hAnsi="Times New Roman"/>
                <w:b w:val="0"/>
                <w:i w:val="0"/>
                <w:sz w:val="20"/>
              </w:rPr>
              <w:t>49.1%</w:t>
            </w:r>
          </w:p>
        </w:tc>
        <w:tc>
          <w:tcPr>
            <w:tcW w:type="dxa" w:w="1800"/>
          </w:tcPr>
          <w:p>
            <w:pPr>
              <w:jc w:val="center"/>
            </w:pPr>
            <w:r/>
            <w:r>
              <w:rPr>
                <w:rFonts w:ascii="Times New Roman" w:hAnsi="Times New Roman"/>
                <w:b w:val="0"/>
                <w:i w:val="0"/>
                <w:sz w:val="20"/>
              </w:rPr>
              <w:t>31.8%</w:t>
            </w:r>
          </w:p>
        </w:tc>
        <w:tc>
          <w:tcPr>
            <w:tcW w:type="dxa" w:w="1800"/>
          </w:tcPr>
          <w:p>
            <w:pPr>
              <w:jc w:val="center"/>
            </w:pPr>
            <w:r/>
            <w:r>
              <w:rPr>
                <w:rFonts w:ascii="Times New Roman" w:hAnsi="Times New Roman"/>
                <w:b w:val="0"/>
                <w:i w:val="0"/>
                <w:sz w:val="20"/>
              </w:rPr>
              <w:t>19.1%</w:t>
            </w:r>
          </w:p>
        </w:tc>
      </w:tr>
      <w:tr>
        <w:tc>
          <w:tcPr>
            <w:tcW w:type="dxa" w:w="1800"/>
          </w:tcPr>
          <w:p>
            <w:pPr>
              <w:jc w:val="center"/>
            </w:pPr>
            <w:r/>
            <w:r>
              <w:rPr>
                <w:rFonts w:ascii="Times New Roman" w:hAnsi="Times New Roman"/>
                <w:b w:val="0"/>
                <w:i w:val="0"/>
                <w:sz w:val="20"/>
              </w:rPr>
              <w:t>Wednesday</w:t>
            </w:r>
          </w:p>
        </w:tc>
        <w:tc>
          <w:tcPr>
            <w:tcW w:type="dxa" w:w="1800"/>
          </w:tcPr>
          <w:p>
            <w:pPr>
              <w:jc w:val="center"/>
            </w:pPr>
            <w:r/>
            <w:r>
              <w:rPr>
                <w:rFonts w:ascii="Times New Roman" w:hAnsi="Times New Roman"/>
                <w:b w:val="0"/>
                <w:i w:val="0"/>
                <w:sz w:val="20"/>
              </w:rPr>
              <w:t>129</w:t>
            </w:r>
          </w:p>
        </w:tc>
        <w:tc>
          <w:tcPr>
            <w:tcW w:type="dxa" w:w="1800"/>
          </w:tcPr>
          <w:p>
            <w:pPr>
              <w:jc w:val="center"/>
            </w:pPr>
            <w:r/>
            <w:r>
              <w:rPr>
                <w:rFonts w:ascii="Times New Roman" w:hAnsi="Times New Roman"/>
                <w:b w:val="0"/>
                <w:i w:val="0"/>
                <w:sz w:val="20"/>
              </w:rPr>
              <w:t>51.6%</w:t>
            </w:r>
          </w:p>
        </w:tc>
        <w:tc>
          <w:tcPr>
            <w:tcW w:type="dxa" w:w="1800"/>
          </w:tcPr>
          <w:p>
            <w:pPr>
              <w:jc w:val="center"/>
            </w:pPr>
            <w:r/>
            <w:r>
              <w:rPr>
                <w:rFonts w:ascii="Times New Roman" w:hAnsi="Times New Roman"/>
                <w:b w:val="0"/>
                <w:i w:val="0"/>
                <w:sz w:val="20"/>
              </w:rPr>
              <w:t>32.4%</w:t>
            </w:r>
          </w:p>
        </w:tc>
        <w:tc>
          <w:tcPr>
            <w:tcW w:type="dxa" w:w="1800"/>
          </w:tcPr>
          <w:p>
            <w:pPr>
              <w:jc w:val="center"/>
            </w:pPr>
            <w:r/>
            <w:r>
              <w:rPr>
                <w:rFonts w:ascii="Times New Roman" w:hAnsi="Times New Roman"/>
                <w:b w:val="0"/>
                <w:i w:val="0"/>
                <w:sz w:val="20"/>
              </w:rPr>
              <w:t>16.0%</w:t>
            </w:r>
          </w:p>
        </w:tc>
      </w:tr>
      <w:tr>
        <w:tc>
          <w:tcPr>
            <w:tcW w:type="dxa" w:w="1800"/>
          </w:tcPr>
          <w:p>
            <w:pPr>
              <w:jc w:val="center"/>
            </w:pPr>
            <w:r/>
            <w:r>
              <w:rPr>
                <w:rFonts w:ascii="Times New Roman" w:hAnsi="Times New Roman"/>
                <w:b w:val="0"/>
                <w:i w:val="0"/>
                <w:sz w:val="20"/>
              </w:rPr>
              <w:t>Thursday</w:t>
            </w:r>
          </w:p>
        </w:tc>
        <w:tc>
          <w:tcPr>
            <w:tcW w:type="dxa" w:w="1800"/>
          </w:tcPr>
          <w:p>
            <w:pPr>
              <w:jc w:val="center"/>
            </w:pPr>
            <w:r/>
            <w:r>
              <w:rPr>
                <w:rFonts w:ascii="Times New Roman" w:hAnsi="Times New Roman"/>
                <w:b w:val="0"/>
                <w:i w:val="0"/>
                <w:sz w:val="20"/>
              </w:rPr>
              <w:t>132</w:t>
            </w:r>
          </w:p>
        </w:tc>
        <w:tc>
          <w:tcPr>
            <w:tcW w:type="dxa" w:w="1800"/>
          </w:tcPr>
          <w:p>
            <w:pPr>
              <w:jc w:val="center"/>
            </w:pPr>
            <w:r/>
            <w:r>
              <w:rPr>
                <w:rFonts w:ascii="Times New Roman" w:hAnsi="Times New Roman"/>
                <w:b w:val="0"/>
                <w:i w:val="0"/>
                <w:sz w:val="20"/>
              </w:rPr>
              <w:t>53.8%</w:t>
            </w:r>
          </w:p>
        </w:tc>
        <w:tc>
          <w:tcPr>
            <w:tcW w:type="dxa" w:w="1800"/>
          </w:tcPr>
          <w:p>
            <w:pPr>
              <w:jc w:val="center"/>
            </w:pPr>
            <w:r/>
            <w:r>
              <w:rPr>
                <w:rFonts w:ascii="Times New Roman" w:hAnsi="Times New Roman"/>
                <w:b w:val="0"/>
                <w:i w:val="0"/>
                <w:sz w:val="20"/>
              </w:rPr>
              <w:t>31.5%</w:t>
            </w:r>
          </w:p>
        </w:tc>
        <w:tc>
          <w:tcPr>
            <w:tcW w:type="dxa" w:w="1800"/>
          </w:tcPr>
          <w:p>
            <w:pPr>
              <w:jc w:val="center"/>
            </w:pPr>
            <w:r/>
            <w:r>
              <w:rPr>
                <w:rFonts w:ascii="Times New Roman" w:hAnsi="Times New Roman"/>
                <w:b w:val="0"/>
                <w:i w:val="0"/>
                <w:sz w:val="20"/>
              </w:rPr>
              <w:t>14.7%</w:t>
            </w:r>
          </w:p>
        </w:tc>
      </w:tr>
      <w:tr>
        <w:tc>
          <w:tcPr>
            <w:tcW w:type="dxa" w:w="1800"/>
          </w:tcPr>
          <w:p>
            <w:pPr>
              <w:jc w:val="center"/>
            </w:pPr>
            <w:r/>
            <w:r>
              <w:rPr>
                <w:rFonts w:ascii="Times New Roman" w:hAnsi="Times New Roman"/>
                <w:b w:val="0"/>
                <w:i w:val="0"/>
                <w:sz w:val="20"/>
              </w:rPr>
              <w:t>Friday</w:t>
            </w:r>
          </w:p>
        </w:tc>
        <w:tc>
          <w:tcPr>
            <w:tcW w:type="dxa" w:w="1800"/>
          </w:tcPr>
          <w:p>
            <w:pPr>
              <w:jc w:val="center"/>
            </w:pPr>
            <w:r/>
            <w:r>
              <w:rPr>
                <w:rFonts w:ascii="Times New Roman" w:hAnsi="Times New Roman"/>
                <w:b w:val="0"/>
                <w:i w:val="0"/>
                <w:sz w:val="20"/>
              </w:rPr>
              <w:t>138</w:t>
            </w:r>
          </w:p>
        </w:tc>
        <w:tc>
          <w:tcPr>
            <w:tcW w:type="dxa" w:w="1800"/>
          </w:tcPr>
          <w:p>
            <w:pPr>
              <w:jc w:val="center"/>
            </w:pPr>
            <w:r/>
            <w:r>
              <w:rPr>
                <w:rFonts w:ascii="Times New Roman" w:hAnsi="Times New Roman"/>
                <w:b w:val="0"/>
                <w:i w:val="0"/>
                <w:sz w:val="20"/>
              </w:rPr>
              <w:t>57.9%</w:t>
            </w:r>
          </w:p>
        </w:tc>
        <w:tc>
          <w:tcPr>
            <w:tcW w:type="dxa" w:w="1800"/>
          </w:tcPr>
          <w:p>
            <w:pPr>
              <w:jc w:val="center"/>
            </w:pPr>
            <w:r/>
            <w:r>
              <w:rPr>
                <w:rFonts w:ascii="Times New Roman" w:hAnsi="Times New Roman"/>
                <w:b w:val="0"/>
                <w:i w:val="0"/>
                <w:sz w:val="20"/>
              </w:rPr>
              <w:t>32.7%</w:t>
            </w:r>
          </w:p>
        </w:tc>
        <w:tc>
          <w:tcPr>
            <w:tcW w:type="dxa" w:w="1800"/>
          </w:tcPr>
          <w:p>
            <w:pPr>
              <w:jc w:val="center"/>
            </w:pPr>
            <w:r/>
            <w:r>
              <w:rPr>
                <w:rFonts w:ascii="Times New Roman" w:hAnsi="Times New Roman"/>
                <w:b w:val="0"/>
                <w:i w:val="0"/>
                <w:sz w:val="20"/>
              </w:rPr>
              <w:t>9.4%</w:t>
            </w:r>
          </w:p>
        </w:tc>
      </w:tr>
      <w:tr>
        <w:tc>
          <w:tcPr>
            <w:tcW w:type="dxa" w:w="1800"/>
          </w:tcPr>
          <w:p>
            <w:pPr>
              <w:jc w:val="center"/>
            </w:pPr>
            <w:r/>
            <w:r>
              <w:rPr>
                <w:rFonts w:ascii="Times New Roman" w:hAnsi="Times New Roman"/>
                <w:b w:val="0"/>
                <w:i w:val="0"/>
                <w:sz w:val="20"/>
              </w:rPr>
              <w:t>Total</w:t>
            </w:r>
          </w:p>
        </w:tc>
        <w:tc>
          <w:tcPr>
            <w:tcW w:type="dxa" w:w="1800"/>
          </w:tcPr>
          <w:p>
            <w:pPr>
              <w:jc w:val="center"/>
            </w:pPr>
            <w:r/>
            <w:r>
              <w:rPr>
                <w:rFonts w:ascii="Times New Roman" w:hAnsi="Times New Roman"/>
                <w:b w:val="0"/>
                <w:i w:val="0"/>
                <w:sz w:val="20"/>
              </w:rPr>
              <w:t>641</w:t>
            </w:r>
          </w:p>
        </w:tc>
        <w:tc>
          <w:tcPr>
            <w:tcW w:type="dxa" w:w="1800"/>
          </w:tcPr>
          <w:p>
            <w:pPr>
              <w:jc w:val="center"/>
            </w:pPr>
            <w:r/>
            <w:r>
              <w:rPr>
                <w:rFonts w:ascii="Times New Roman" w:hAnsi="Times New Roman"/>
                <w:b w:val="0"/>
                <w:i w:val="0"/>
                <w:sz w:val="20"/>
              </w:rPr>
              <w:t>52.3%</w:t>
            </w:r>
          </w:p>
        </w:tc>
        <w:tc>
          <w:tcPr>
            <w:tcW w:type="dxa" w:w="1800"/>
          </w:tcPr>
          <w:p>
            <w:pPr>
              <w:jc w:val="center"/>
            </w:pPr>
            <w:r/>
            <w:r>
              <w:rPr>
                <w:rFonts w:ascii="Times New Roman" w:hAnsi="Times New Roman"/>
                <w:b w:val="0"/>
                <w:i w:val="0"/>
                <w:sz w:val="20"/>
              </w:rPr>
              <w:t>31.4%</w:t>
            </w:r>
          </w:p>
        </w:tc>
        <w:tc>
          <w:tcPr>
            <w:tcW w:type="dxa" w:w="1800"/>
          </w:tcPr>
          <w:p>
            <w:pPr>
              <w:jc w:val="center"/>
            </w:pPr>
            <w:r/>
            <w:r>
              <w:rPr>
                <w:rFonts w:ascii="Times New Roman" w:hAnsi="Times New Roman"/>
                <w:b w:val="0"/>
                <w:i w:val="0"/>
                <w:sz w:val="20"/>
              </w:rPr>
              <w:t>16.3%</w:t>
            </w:r>
          </w:p>
        </w:tc>
      </w:tr>
    </w:tbl>
    <w:p>
      <w:pPr>
        <w:spacing w:after="120"/>
      </w:pPr>
    </w:p>
    <w:p>
      <w:pPr>
        <w:spacing w:before="280" w:after="200" w:line="360" w:lineRule="auto"/>
        <w:ind w:firstLine="0"/>
        <w:jc w:val="left"/>
      </w:pPr>
      <w:r>
        <w:rPr>
          <w:rFonts w:ascii="Times New Roman" w:hAnsi="Times New Roman"/>
          <w:b/>
          <w:i w:val="0"/>
          <w:sz w:val="24"/>
        </w:rPr>
        <w:t>4.6.2 Teacher monitoring and support bands (RQ3)</w:t>
      </w:r>
    </w:p>
    <w:p>
      <w:pPr>
        <w:spacing w:after="160" w:before="0" w:line="360" w:lineRule="auto"/>
        <w:ind w:firstLine="720"/>
        <w:jc w:val="both"/>
      </w:pPr>
      <w:r>
        <w:rPr>
          <w:rFonts w:ascii="Times New Roman" w:hAnsi="Times New Roman"/>
          <w:b w:val="0"/>
          <w:i w:val="0"/>
          <w:sz w:val="24"/>
        </w:rPr>
        <w:t>Four participating teachers completed a short feedback form after the observation week. All four rated progress tracking as Useful or Very Useful (M = 4.50 / 5, SD = 0.58). The views they used most were subject-level score breakdowns and the support bands on the class roster: needs support (below 60%), watch (inactive or below 70%), and on track. One teacher put it simply: she could see who was stuck on fractions versus multiplication and pull those pupils aside during ordinary class practice.</w:t>
      </w:r>
    </w:p>
    <w:p>
      <w:pPr>
        <w:spacing w:after="160" w:before="0" w:line="360" w:lineRule="auto"/>
        <w:ind w:firstLine="720"/>
        <w:jc w:val="both"/>
      </w:pPr>
      <w:r>
        <w:rPr>
          <w:rFonts w:ascii="Times New Roman" w:hAnsi="Times New Roman"/>
          <w:b w:val="0"/>
          <w:i w:val="0"/>
          <w:sz w:val="24"/>
        </w:rPr>
        <w:t>That matters for RQ3. The original problem we stated in Chapter 1 was that teachers often struggle to spot individual gaps in real time. SkulKid did not replace teaching; it gave teachers a clearer signal of where to spend scarce attention during the week.</w:t>
      </w:r>
    </w:p>
    <w:p>
      <w:pPr>
        <w:spacing w:before="280" w:after="200" w:line="360" w:lineRule="auto"/>
        <w:ind w:firstLine="0"/>
        <w:jc w:val="left"/>
      </w:pPr>
      <w:r>
        <w:rPr>
          <w:rFonts w:ascii="Times New Roman" w:hAnsi="Times New Roman"/>
          <w:b/>
          <w:i w:val="0"/>
          <w:sz w:val="24"/>
        </w:rPr>
        <w:t>4.6.3 How different learners used the pathways (RQ4)</w:t>
      </w:r>
    </w:p>
    <w:p>
      <w:pPr>
        <w:spacing w:after="160" w:before="0" w:line="360" w:lineRule="auto"/>
        <w:ind w:firstLine="720"/>
        <w:jc w:val="both"/>
      </w:pPr>
      <w:r>
        <w:rPr>
          <w:rFonts w:ascii="Times New Roman" w:hAnsi="Times New Roman"/>
          <w:b w:val="0"/>
          <w:i w:val="0"/>
          <w:sz w:val="24"/>
        </w:rPr>
        <w:t>Because the engine is rule-based, we did not run a machine-learning cluster model on the pupils. Instead we grouped experimental learners by the pathway they used most often across the five days. Three practical profiles emerged from the logs.</w:t>
      </w:r>
    </w:p>
    <w:p>
      <w:pPr>
        <w:spacing w:after="120" w:before="200" w:line="360" w:lineRule="auto"/>
        <w:jc w:val="center"/>
      </w:pPr>
      <w:r>
        <w:rPr>
          <w:rFonts w:ascii="Times New Roman" w:hAnsi="Times New Roman"/>
          <w:b/>
          <w:i w:val="0"/>
          <w:sz w:val="22"/>
        </w:rPr>
        <w:t>Table 4.8: Pathway-use profiles in the experimental group</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
              <w:rPr>
                <w:rFonts w:ascii="Times New Roman" w:hAnsi="Times New Roman"/>
                <w:b/>
                <w:i w:val="0"/>
                <w:sz w:val="20"/>
              </w:rPr>
              <w:t>Profile</w:t>
            </w:r>
          </w:p>
        </w:tc>
        <w:tc>
          <w:tcPr>
            <w:tcW w:type="dxa" w:w="2250"/>
          </w:tcPr>
          <w:p>
            <w:pPr>
              <w:jc w:val="center"/>
            </w:pPr>
            <w:r/>
            <w:r>
              <w:rPr>
                <w:rFonts w:ascii="Times New Roman" w:hAnsi="Times New Roman"/>
                <w:b/>
                <w:i w:val="0"/>
                <w:sz w:val="20"/>
              </w:rPr>
              <w:t>n (%)</w:t>
            </w:r>
          </w:p>
        </w:tc>
        <w:tc>
          <w:tcPr>
            <w:tcW w:type="dxa" w:w="2250"/>
          </w:tcPr>
          <w:p>
            <w:pPr>
              <w:jc w:val="center"/>
            </w:pPr>
            <w:r/>
            <w:r>
              <w:rPr>
                <w:rFonts w:ascii="Times New Roman" w:hAnsi="Times New Roman"/>
                <w:b/>
                <w:i w:val="0"/>
                <w:sz w:val="20"/>
              </w:rPr>
              <w:t>Mean post-test (Math, Eng)</w:t>
            </w:r>
          </w:p>
        </w:tc>
        <w:tc>
          <w:tcPr>
            <w:tcW w:type="dxa" w:w="2250"/>
          </w:tcPr>
          <w:p>
            <w:pPr>
              <w:jc w:val="center"/>
            </w:pPr>
            <w:r/>
            <w:r>
              <w:rPr>
                <w:rFonts w:ascii="Times New Roman" w:hAnsi="Times New Roman"/>
                <w:b/>
                <w:i w:val="0"/>
                <w:sz w:val="20"/>
              </w:rPr>
              <w:t>What stood out in the logs</w:t>
            </w:r>
          </w:p>
        </w:tc>
      </w:tr>
      <w:tr>
        <w:tc>
          <w:tcPr>
            <w:tcW w:type="dxa" w:w="2250"/>
          </w:tcPr>
          <w:p>
            <w:pPr>
              <w:jc w:val="center"/>
            </w:pPr>
            <w:r/>
            <w:r>
              <w:rPr>
                <w:rFonts w:ascii="Times New Roman" w:hAnsi="Times New Roman"/>
                <w:b w:val="0"/>
                <w:i w:val="0"/>
                <w:sz w:val="20"/>
              </w:rPr>
              <w:t>Quick unlockers</w:t>
            </w:r>
          </w:p>
        </w:tc>
        <w:tc>
          <w:tcPr>
            <w:tcW w:type="dxa" w:w="2250"/>
          </w:tcPr>
          <w:p>
            <w:pPr>
              <w:jc w:val="center"/>
            </w:pPr>
            <w:r/>
            <w:r>
              <w:rPr>
                <w:rFonts w:ascii="Times New Roman" w:hAnsi="Times New Roman"/>
                <w:b w:val="0"/>
                <w:i w:val="0"/>
                <w:sz w:val="20"/>
              </w:rPr>
              <w:t>19 (29.7%)</w:t>
            </w:r>
          </w:p>
        </w:tc>
        <w:tc>
          <w:tcPr>
            <w:tcW w:type="dxa" w:w="2250"/>
          </w:tcPr>
          <w:p>
            <w:pPr>
              <w:jc w:val="center"/>
            </w:pPr>
            <w:r/>
            <w:r>
              <w:rPr>
                <w:rFonts w:ascii="Times New Roman" w:hAnsi="Times New Roman"/>
                <w:b w:val="0"/>
                <w:i w:val="0"/>
                <w:sz w:val="20"/>
              </w:rPr>
              <w:t>32.4, 33.1</w:t>
            </w:r>
          </w:p>
        </w:tc>
        <w:tc>
          <w:tcPr>
            <w:tcW w:type="dxa" w:w="2250"/>
          </w:tcPr>
          <w:p>
            <w:pPr>
              <w:jc w:val="center"/>
            </w:pPr>
            <w:r/>
            <w:r>
              <w:rPr>
                <w:rFonts w:ascii="Times New Roman" w:hAnsi="Times New Roman"/>
                <w:b w:val="0"/>
                <w:i w:val="0"/>
                <w:sz w:val="20"/>
              </w:rPr>
              <w:t>High Unlock rate, fewer retries, longer lesson time</w:t>
            </w:r>
          </w:p>
        </w:tc>
      </w:tr>
      <w:tr>
        <w:tc>
          <w:tcPr>
            <w:tcW w:type="dxa" w:w="2250"/>
          </w:tcPr>
          <w:p>
            <w:pPr>
              <w:jc w:val="center"/>
            </w:pPr>
            <w:r/>
            <w:r>
              <w:rPr>
                <w:rFonts w:ascii="Times New Roman" w:hAnsi="Times New Roman"/>
                <w:b w:val="0"/>
                <w:i w:val="0"/>
                <w:sz w:val="20"/>
              </w:rPr>
              <w:t>Steady builders</w:t>
            </w:r>
          </w:p>
        </w:tc>
        <w:tc>
          <w:tcPr>
            <w:tcW w:type="dxa" w:w="2250"/>
          </w:tcPr>
          <w:p>
            <w:pPr>
              <w:jc w:val="center"/>
            </w:pPr>
            <w:r/>
            <w:r>
              <w:rPr>
                <w:rFonts w:ascii="Times New Roman" w:hAnsi="Times New Roman"/>
                <w:b w:val="0"/>
                <w:i w:val="0"/>
                <w:sz w:val="20"/>
              </w:rPr>
              <w:t>28 (43.8%)</w:t>
            </w:r>
          </w:p>
        </w:tc>
        <w:tc>
          <w:tcPr>
            <w:tcW w:type="dxa" w:w="2250"/>
          </w:tcPr>
          <w:p>
            <w:pPr>
              <w:jc w:val="center"/>
            </w:pPr>
            <w:r/>
            <w:r>
              <w:rPr>
                <w:rFonts w:ascii="Times New Roman" w:hAnsi="Times New Roman"/>
                <w:b w:val="0"/>
                <w:i w:val="0"/>
                <w:sz w:val="20"/>
              </w:rPr>
              <w:t>28.1, 28.9</w:t>
            </w:r>
          </w:p>
        </w:tc>
        <w:tc>
          <w:tcPr>
            <w:tcW w:type="dxa" w:w="2250"/>
          </w:tcPr>
          <w:p>
            <w:pPr>
              <w:jc w:val="center"/>
            </w:pPr>
            <w:r/>
            <w:r>
              <w:rPr>
                <w:rFonts w:ascii="Times New Roman" w:hAnsi="Times New Roman"/>
                <w:b w:val="0"/>
                <w:i w:val="0"/>
                <w:sz w:val="20"/>
              </w:rPr>
              <w:t>Many Practice-more cycles; scores rose day by day</w:t>
            </w:r>
          </w:p>
        </w:tc>
      </w:tr>
      <w:tr>
        <w:tc>
          <w:tcPr>
            <w:tcW w:type="dxa" w:w="2250"/>
          </w:tcPr>
          <w:p>
            <w:pPr>
              <w:jc w:val="center"/>
            </w:pPr>
            <w:r/>
            <w:r>
              <w:rPr>
                <w:rFonts w:ascii="Times New Roman" w:hAnsi="Times New Roman"/>
                <w:b w:val="0"/>
                <w:i w:val="0"/>
                <w:sz w:val="20"/>
              </w:rPr>
              <w:t>Supported revisers</w:t>
            </w:r>
          </w:p>
        </w:tc>
        <w:tc>
          <w:tcPr>
            <w:tcW w:type="dxa" w:w="2250"/>
          </w:tcPr>
          <w:p>
            <w:pPr>
              <w:jc w:val="center"/>
            </w:pPr>
            <w:r/>
            <w:r>
              <w:rPr>
                <w:rFonts w:ascii="Times New Roman" w:hAnsi="Times New Roman"/>
                <w:b w:val="0"/>
                <w:i w:val="0"/>
                <w:sz w:val="20"/>
              </w:rPr>
              <w:t>17 (26.6%)</w:t>
            </w:r>
          </w:p>
        </w:tc>
        <w:tc>
          <w:tcPr>
            <w:tcW w:type="dxa" w:w="2250"/>
          </w:tcPr>
          <w:p>
            <w:pPr>
              <w:jc w:val="center"/>
            </w:pPr>
            <w:r/>
            <w:r>
              <w:rPr>
                <w:rFonts w:ascii="Times New Roman" w:hAnsi="Times New Roman"/>
                <w:b w:val="0"/>
                <w:i w:val="0"/>
                <w:sz w:val="20"/>
              </w:rPr>
              <w:t>22.6, 23.4</w:t>
            </w:r>
          </w:p>
        </w:tc>
        <w:tc>
          <w:tcPr>
            <w:tcW w:type="dxa" w:w="2250"/>
          </w:tcPr>
          <w:p>
            <w:pPr>
              <w:jc w:val="center"/>
            </w:pPr>
            <w:r/>
            <w:r>
              <w:rPr>
                <w:rFonts w:ascii="Times New Roman" w:hAnsi="Times New Roman"/>
                <w:b w:val="0"/>
                <w:i w:val="0"/>
                <w:sz w:val="20"/>
              </w:rPr>
              <w:t>Highest Retry share early in the week; largest proportional gain from baseline</w:t>
            </w:r>
          </w:p>
        </w:tc>
      </w:tr>
    </w:tbl>
    <w:p>
      <w:pPr>
        <w:spacing w:after="120"/>
      </w:pPr>
    </w:p>
    <w:p>
      <w:pPr>
        <w:spacing w:after="160" w:before="0" w:line="360" w:lineRule="auto"/>
        <w:ind w:firstLine="720"/>
        <w:jc w:val="both"/>
      </w:pPr>
      <w:r>
        <w:rPr>
          <w:rFonts w:ascii="Times New Roman" w:hAnsi="Times New Roman"/>
          <w:b w:val="0"/>
          <w:i w:val="0"/>
          <w:sz w:val="24"/>
        </w:rPr>
        <w:t>Supported revisers started weaker but showed the largest proportional improvement relative to their own baseline (about 47% above starting scores). Keeping the next lesson locked until they cleared the revision band appears to have helped rather than discouraged them. Steady builders were the largest group and sat in the middle of the post-test distribution. Quick unlockers finished highest, but they were not the only ones who benefited. For RQ4, the useful claim is not that every child got a unique AI path; it is that a transparent score rule produced different, sensible trajectories within one week of use.</w:t>
      </w:r>
    </w:p>
    <w:p>
      <w:pPr>
        <w:spacing w:before="280" w:after="200" w:line="360" w:lineRule="auto"/>
        <w:ind w:firstLine="0"/>
        <w:jc w:val="left"/>
      </w:pPr>
      <w:r>
        <w:rPr>
          <w:rFonts w:ascii="Times New Roman" w:hAnsi="Times New Roman"/>
          <w:b/>
          <w:i w:val="0"/>
          <w:sz w:val="24"/>
        </w:rPr>
        <w:t>4.6.4 Timed challenges and PASCO revision</w:t>
      </w:r>
    </w:p>
    <w:p>
      <w:pPr>
        <w:spacing w:after="160" w:before="0" w:line="360" w:lineRule="auto"/>
        <w:ind w:firstLine="720"/>
        <w:jc w:val="both"/>
      </w:pPr>
      <w:r>
        <w:rPr>
          <w:rFonts w:ascii="Times New Roman" w:hAnsi="Times New Roman"/>
          <w:b w:val="0"/>
          <w:i w:val="0"/>
          <w:sz w:val="24"/>
        </w:rPr>
        <w:t>When a published class quiz was live and due within 48 hours, the student interface labelled it as a timed challenge and showed a countdown. Teachers said the deadline label raised urgency without changing the underlying quiz rules. After the deadline, the same paper became available under PASCO for ungraded revision. Pupils used PASCO mainly on Thursday and Friday before the post-test. Because PASCO attempts do not write XP or leaderboard events, they gave weaker pupils a low-pressure way to revisit questions they had missed in live class quizzes.</w:t>
      </w:r>
    </w:p>
    <w:p>
      <w:pPr>
        <w:spacing w:before="280" w:after="200" w:line="360" w:lineRule="auto"/>
        <w:ind w:firstLine="0"/>
        <w:jc w:val="left"/>
      </w:pPr>
      <w:r>
        <w:rPr>
          <w:rFonts w:ascii="Times New Roman" w:hAnsi="Times New Roman"/>
          <w:b/>
          <w:i w:val="0"/>
          <w:sz w:val="24"/>
        </w:rPr>
        <w:t>4.7 Student Questionnaire Results (RQ1, RQ2, RQ5, RQ6)</w:t>
      </w:r>
    </w:p>
    <w:p>
      <w:pPr>
        <w:spacing w:after="160" w:before="0" w:line="360" w:lineRule="auto"/>
        <w:ind w:firstLine="720"/>
        <w:jc w:val="both"/>
      </w:pPr>
      <w:r>
        <w:rPr>
          <w:rFonts w:ascii="Times New Roman" w:hAnsi="Times New Roman"/>
          <w:b w:val="0"/>
          <w:i w:val="0"/>
          <w:sz w:val="24"/>
        </w:rPr>
        <w:t>All 64 experimental pupils completed a 24-item questionnaire at the end of the observation week. Items used a five-point Likert scale and were grouped into four subscales.</w:t>
      </w:r>
    </w:p>
    <w:p>
      <w:pPr>
        <w:spacing w:before="280" w:after="200" w:line="360" w:lineRule="auto"/>
        <w:ind w:firstLine="0"/>
        <w:jc w:val="left"/>
      </w:pPr>
      <w:r>
        <w:rPr>
          <w:rFonts w:ascii="Times New Roman" w:hAnsi="Times New Roman"/>
          <w:b/>
          <w:i w:val="0"/>
          <w:sz w:val="24"/>
        </w:rPr>
        <w:t>4.7.1 Reliability</w:t>
      </w:r>
    </w:p>
    <w:p>
      <w:pPr>
        <w:spacing w:after="120" w:before="200" w:line="360" w:lineRule="auto"/>
        <w:jc w:val="center"/>
      </w:pPr>
      <w:r>
        <w:rPr>
          <w:rFonts w:ascii="Times New Roman" w:hAnsi="Times New Roman"/>
          <w:b/>
          <w:i w:val="0"/>
          <w:sz w:val="22"/>
        </w:rPr>
        <w:t>Table 4.9: Questionnaire reliability and subscale scores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
              <w:rPr>
                <w:rFonts w:ascii="Times New Roman" w:hAnsi="Times New Roman"/>
                <w:b/>
                <w:i w:val="0"/>
                <w:sz w:val="20"/>
              </w:rPr>
              <w:t>Subscale</w:t>
            </w:r>
          </w:p>
        </w:tc>
        <w:tc>
          <w:tcPr>
            <w:tcW w:type="dxa" w:w="1500"/>
          </w:tcPr>
          <w:p>
            <w:pPr>
              <w:jc w:val="center"/>
            </w:pPr>
            <w:r/>
            <w:r>
              <w:rPr>
                <w:rFonts w:ascii="Times New Roman" w:hAnsi="Times New Roman"/>
                <w:b/>
                <w:i w:val="0"/>
                <w:sz w:val="20"/>
              </w:rPr>
              <w:t>Items</w:t>
            </w:r>
          </w:p>
        </w:tc>
        <w:tc>
          <w:tcPr>
            <w:tcW w:type="dxa" w:w="1500"/>
          </w:tcPr>
          <w:p>
            <w:pPr>
              <w:jc w:val="center"/>
            </w:pPr>
            <w:r/>
            <w:r>
              <w:rPr>
                <w:rFonts w:ascii="Times New Roman" w:hAnsi="Times New Roman"/>
                <w:b/>
                <w:i w:val="0"/>
                <w:sz w:val="20"/>
              </w:rPr>
              <w:t>Cronbach’s α</w:t>
            </w:r>
          </w:p>
        </w:tc>
        <w:tc>
          <w:tcPr>
            <w:tcW w:type="dxa" w:w="1500"/>
          </w:tcPr>
          <w:p>
            <w:pPr>
              <w:jc w:val="center"/>
            </w:pPr>
            <w:r/>
            <w:r>
              <w:rPr>
                <w:rFonts w:ascii="Times New Roman" w:hAnsi="Times New Roman"/>
                <w:b/>
                <w:i w:val="0"/>
                <w:sz w:val="20"/>
              </w:rPr>
              <w:t>Mean</w:t>
            </w:r>
          </w:p>
        </w:tc>
        <w:tc>
          <w:tcPr>
            <w:tcW w:type="dxa" w:w="1500"/>
          </w:tcPr>
          <w:p>
            <w:pPr>
              <w:jc w:val="center"/>
            </w:pPr>
            <w:r/>
            <w:r>
              <w:rPr>
                <w:rFonts w:ascii="Times New Roman" w:hAnsi="Times New Roman"/>
                <w:b/>
                <w:i w:val="0"/>
                <w:sz w:val="20"/>
              </w:rPr>
              <w:t>SD</w:t>
            </w:r>
          </w:p>
        </w:tc>
        <w:tc>
          <w:tcPr>
            <w:tcW w:type="dxa" w:w="1500"/>
          </w:tcPr>
          <w:p>
            <w:pPr>
              <w:jc w:val="center"/>
            </w:pPr>
            <w:r/>
            <w:r>
              <w:rPr>
                <w:rFonts w:ascii="Times New Roman" w:hAnsi="Times New Roman"/>
                <w:b/>
                <w:i w:val="0"/>
                <w:sz w:val="20"/>
              </w:rPr>
              <w:t>Range</w:t>
            </w:r>
          </w:p>
        </w:tc>
      </w:tr>
      <w:tr>
        <w:tc>
          <w:tcPr>
            <w:tcW w:type="dxa" w:w="1500"/>
          </w:tcPr>
          <w:p>
            <w:pPr>
              <w:jc w:val="center"/>
            </w:pPr>
            <w:r/>
            <w:r>
              <w:rPr>
                <w:rFonts w:ascii="Times New Roman" w:hAnsi="Times New Roman"/>
                <w:b w:val="0"/>
                <w:i w:val="0"/>
                <w:sz w:val="20"/>
              </w:rPr>
              <w:t>Learning Motivation</w:t>
            </w:r>
          </w:p>
        </w:tc>
        <w:tc>
          <w:tcPr>
            <w:tcW w:type="dxa" w:w="1500"/>
          </w:tcPr>
          <w:p>
            <w:pPr>
              <w:jc w:val="center"/>
            </w:pPr>
            <w:r/>
            <w:r>
              <w:rPr>
                <w:rFonts w:ascii="Times New Roman" w:hAnsi="Times New Roman"/>
                <w:b w:val="0"/>
                <w:i w:val="0"/>
                <w:sz w:val="20"/>
              </w:rPr>
              <w:t>6</w:t>
            </w:r>
          </w:p>
        </w:tc>
        <w:tc>
          <w:tcPr>
            <w:tcW w:type="dxa" w:w="1500"/>
          </w:tcPr>
          <w:p>
            <w:pPr>
              <w:jc w:val="center"/>
            </w:pPr>
            <w:r/>
            <w:r>
              <w:rPr>
                <w:rFonts w:ascii="Times New Roman" w:hAnsi="Times New Roman"/>
                <w:b w:val="0"/>
                <w:i w:val="0"/>
                <w:sz w:val="20"/>
              </w:rPr>
              <w:t>.83</w:t>
            </w:r>
          </w:p>
        </w:tc>
        <w:tc>
          <w:tcPr>
            <w:tcW w:type="dxa" w:w="1500"/>
          </w:tcPr>
          <w:p>
            <w:pPr>
              <w:jc w:val="center"/>
            </w:pPr>
            <w:r/>
            <w:r>
              <w:rPr>
                <w:rFonts w:ascii="Times New Roman" w:hAnsi="Times New Roman"/>
                <w:b w:val="0"/>
                <w:i w:val="0"/>
                <w:sz w:val="20"/>
              </w:rPr>
              <w:t>22.14</w:t>
            </w:r>
          </w:p>
        </w:tc>
        <w:tc>
          <w:tcPr>
            <w:tcW w:type="dxa" w:w="1500"/>
          </w:tcPr>
          <w:p>
            <w:pPr>
              <w:jc w:val="center"/>
            </w:pPr>
            <w:r/>
            <w:r>
              <w:rPr>
                <w:rFonts w:ascii="Times New Roman" w:hAnsi="Times New Roman"/>
                <w:b w:val="0"/>
                <w:i w:val="0"/>
                <w:sz w:val="20"/>
              </w:rPr>
              <w:t>3.21</w:t>
            </w:r>
          </w:p>
        </w:tc>
        <w:tc>
          <w:tcPr>
            <w:tcW w:type="dxa" w:w="1500"/>
          </w:tcPr>
          <w:p>
            <w:pPr>
              <w:jc w:val="center"/>
            </w:pPr>
            <w:r/>
            <w:r>
              <w:rPr>
                <w:rFonts w:ascii="Times New Roman" w:hAnsi="Times New Roman"/>
                <w:b w:val="0"/>
                <w:i w:val="0"/>
                <w:sz w:val="20"/>
              </w:rPr>
              <w:t>6–30</w:t>
            </w:r>
          </w:p>
        </w:tc>
      </w:tr>
      <w:tr>
        <w:tc>
          <w:tcPr>
            <w:tcW w:type="dxa" w:w="1500"/>
          </w:tcPr>
          <w:p>
            <w:pPr>
              <w:jc w:val="center"/>
            </w:pPr>
            <w:r/>
            <w:r>
              <w:rPr>
                <w:rFonts w:ascii="Times New Roman" w:hAnsi="Times New Roman"/>
                <w:b w:val="0"/>
                <w:i w:val="0"/>
                <w:sz w:val="20"/>
              </w:rPr>
              <w:t>Platform Usability</w:t>
            </w:r>
          </w:p>
        </w:tc>
        <w:tc>
          <w:tcPr>
            <w:tcW w:type="dxa" w:w="1500"/>
          </w:tcPr>
          <w:p>
            <w:pPr>
              <w:jc w:val="center"/>
            </w:pPr>
            <w:r/>
            <w:r>
              <w:rPr>
                <w:rFonts w:ascii="Times New Roman" w:hAnsi="Times New Roman"/>
                <w:b w:val="0"/>
                <w:i w:val="0"/>
                <w:sz w:val="20"/>
              </w:rPr>
              <w:t>6</w:t>
            </w:r>
          </w:p>
        </w:tc>
        <w:tc>
          <w:tcPr>
            <w:tcW w:type="dxa" w:w="1500"/>
          </w:tcPr>
          <w:p>
            <w:pPr>
              <w:jc w:val="center"/>
            </w:pPr>
            <w:r/>
            <w:r>
              <w:rPr>
                <w:rFonts w:ascii="Times New Roman" w:hAnsi="Times New Roman"/>
                <w:b w:val="0"/>
                <w:i w:val="0"/>
                <w:sz w:val="20"/>
              </w:rPr>
              <w:t>.89</w:t>
            </w:r>
          </w:p>
        </w:tc>
        <w:tc>
          <w:tcPr>
            <w:tcW w:type="dxa" w:w="1500"/>
          </w:tcPr>
          <w:p>
            <w:pPr>
              <w:jc w:val="center"/>
            </w:pPr>
            <w:r/>
            <w:r>
              <w:rPr>
                <w:rFonts w:ascii="Times New Roman" w:hAnsi="Times New Roman"/>
                <w:b w:val="0"/>
                <w:i w:val="0"/>
                <w:sz w:val="20"/>
              </w:rPr>
              <w:t>23.47</w:t>
            </w:r>
          </w:p>
        </w:tc>
        <w:tc>
          <w:tcPr>
            <w:tcW w:type="dxa" w:w="1500"/>
          </w:tcPr>
          <w:p>
            <w:pPr>
              <w:jc w:val="center"/>
            </w:pPr>
            <w:r/>
            <w:r>
              <w:rPr>
                <w:rFonts w:ascii="Times New Roman" w:hAnsi="Times New Roman"/>
                <w:b w:val="0"/>
                <w:i w:val="0"/>
                <w:sz w:val="20"/>
              </w:rPr>
              <w:t>2.84</w:t>
            </w:r>
          </w:p>
        </w:tc>
        <w:tc>
          <w:tcPr>
            <w:tcW w:type="dxa" w:w="1500"/>
          </w:tcPr>
          <w:p>
            <w:pPr>
              <w:jc w:val="center"/>
            </w:pPr>
            <w:r/>
            <w:r>
              <w:rPr>
                <w:rFonts w:ascii="Times New Roman" w:hAnsi="Times New Roman"/>
                <w:b w:val="0"/>
                <w:i w:val="0"/>
                <w:sz w:val="20"/>
              </w:rPr>
              <w:t>6–30</w:t>
            </w:r>
          </w:p>
        </w:tc>
      </w:tr>
      <w:tr>
        <w:tc>
          <w:tcPr>
            <w:tcW w:type="dxa" w:w="1500"/>
          </w:tcPr>
          <w:p>
            <w:pPr>
              <w:jc w:val="center"/>
            </w:pPr>
            <w:r/>
            <w:r>
              <w:rPr>
                <w:rFonts w:ascii="Times New Roman" w:hAnsi="Times New Roman"/>
                <w:b w:val="0"/>
                <w:i w:val="0"/>
                <w:sz w:val="20"/>
              </w:rPr>
              <w:t>Gamification Engagement</w:t>
            </w:r>
          </w:p>
        </w:tc>
        <w:tc>
          <w:tcPr>
            <w:tcW w:type="dxa" w:w="1500"/>
          </w:tcPr>
          <w:p>
            <w:pPr>
              <w:jc w:val="center"/>
            </w:pPr>
            <w:r/>
            <w:r>
              <w:rPr>
                <w:rFonts w:ascii="Times New Roman" w:hAnsi="Times New Roman"/>
                <w:b w:val="0"/>
                <w:i w:val="0"/>
                <w:sz w:val="20"/>
              </w:rPr>
              <w:t>6</w:t>
            </w:r>
          </w:p>
        </w:tc>
        <w:tc>
          <w:tcPr>
            <w:tcW w:type="dxa" w:w="1500"/>
          </w:tcPr>
          <w:p>
            <w:pPr>
              <w:jc w:val="center"/>
            </w:pPr>
            <w:r/>
            <w:r>
              <w:rPr>
                <w:rFonts w:ascii="Times New Roman" w:hAnsi="Times New Roman"/>
                <w:b w:val="0"/>
                <w:i w:val="0"/>
                <w:sz w:val="20"/>
              </w:rPr>
              <w:t>.86</w:t>
            </w:r>
          </w:p>
        </w:tc>
        <w:tc>
          <w:tcPr>
            <w:tcW w:type="dxa" w:w="1500"/>
          </w:tcPr>
          <w:p>
            <w:pPr>
              <w:jc w:val="center"/>
            </w:pPr>
            <w:r/>
            <w:r>
              <w:rPr>
                <w:rFonts w:ascii="Times New Roman" w:hAnsi="Times New Roman"/>
                <w:b w:val="0"/>
                <w:i w:val="0"/>
                <w:sz w:val="20"/>
              </w:rPr>
              <w:t>22.89</w:t>
            </w:r>
          </w:p>
        </w:tc>
        <w:tc>
          <w:tcPr>
            <w:tcW w:type="dxa" w:w="1500"/>
          </w:tcPr>
          <w:p>
            <w:pPr>
              <w:jc w:val="center"/>
            </w:pPr>
            <w:r/>
            <w:r>
              <w:rPr>
                <w:rFonts w:ascii="Times New Roman" w:hAnsi="Times New Roman"/>
                <w:b w:val="0"/>
                <w:i w:val="0"/>
                <w:sz w:val="20"/>
              </w:rPr>
              <w:t>3.08</w:t>
            </w:r>
          </w:p>
        </w:tc>
        <w:tc>
          <w:tcPr>
            <w:tcW w:type="dxa" w:w="1500"/>
          </w:tcPr>
          <w:p>
            <w:pPr>
              <w:jc w:val="center"/>
            </w:pPr>
            <w:r/>
            <w:r>
              <w:rPr>
                <w:rFonts w:ascii="Times New Roman" w:hAnsi="Times New Roman"/>
                <w:b w:val="0"/>
                <w:i w:val="0"/>
                <w:sz w:val="20"/>
              </w:rPr>
              <w:t>6–30</w:t>
            </w:r>
          </w:p>
        </w:tc>
      </w:tr>
      <w:tr>
        <w:tc>
          <w:tcPr>
            <w:tcW w:type="dxa" w:w="1500"/>
          </w:tcPr>
          <w:p>
            <w:pPr>
              <w:jc w:val="center"/>
            </w:pPr>
            <w:r/>
            <w:r>
              <w:rPr>
                <w:rFonts w:ascii="Times New Roman" w:hAnsi="Times New Roman"/>
                <w:b w:val="0"/>
                <w:i w:val="0"/>
                <w:sz w:val="20"/>
              </w:rPr>
              <w:t>Perceived Learning Effectiveness</w:t>
            </w:r>
          </w:p>
        </w:tc>
        <w:tc>
          <w:tcPr>
            <w:tcW w:type="dxa" w:w="1500"/>
          </w:tcPr>
          <w:p>
            <w:pPr>
              <w:jc w:val="center"/>
            </w:pPr>
            <w:r/>
            <w:r>
              <w:rPr>
                <w:rFonts w:ascii="Times New Roman" w:hAnsi="Times New Roman"/>
                <w:b w:val="0"/>
                <w:i w:val="0"/>
                <w:sz w:val="20"/>
              </w:rPr>
              <w:t>6</w:t>
            </w:r>
          </w:p>
        </w:tc>
        <w:tc>
          <w:tcPr>
            <w:tcW w:type="dxa" w:w="1500"/>
          </w:tcPr>
          <w:p>
            <w:pPr>
              <w:jc w:val="center"/>
            </w:pPr>
            <w:r/>
            <w:r>
              <w:rPr>
                <w:rFonts w:ascii="Times New Roman" w:hAnsi="Times New Roman"/>
                <w:b w:val="0"/>
                <w:i w:val="0"/>
                <w:sz w:val="20"/>
              </w:rPr>
              <w:t>.84</w:t>
            </w:r>
          </w:p>
        </w:tc>
        <w:tc>
          <w:tcPr>
            <w:tcW w:type="dxa" w:w="1500"/>
          </w:tcPr>
          <w:p>
            <w:pPr>
              <w:jc w:val="center"/>
            </w:pPr>
            <w:r/>
            <w:r>
              <w:rPr>
                <w:rFonts w:ascii="Times New Roman" w:hAnsi="Times New Roman"/>
                <w:b w:val="0"/>
                <w:i w:val="0"/>
                <w:sz w:val="20"/>
              </w:rPr>
              <w:t>22.31</w:t>
            </w:r>
          </w:p>
        </w:tc>
        <w:tc>
          <w:tcPr>
            <w:tcW w:type="dxa" w:w="1500"/>
          </w:tcPr>
          <w:p>
            <w:pPr>
              <w:jc w:val="center"/>
            </w:pPr>
            <w:r/>
            <w:r>
              <w:rPr>
                <w:rFonts w:ascii="Times New Roman" w:hAnsi="Times New Roman"/>
                <w:b w:val="0"/>
                <w:i w:val="0"/>
                <w:sz w:val="20"/>
              </w:rPr>
              <w:t>3.17</w:t>
            </w:r>
          </w:p>
        </w:tc>
        <w:tc>
          <w:tcPr>
            <w:tcW w:type="dxa" w:w="1500"/>
          </w:tcPr>
          <w:p>
            <w:pPr>
              <w:jc w:val="center"/>
            </w:pPr>
            <w:r/>
            <w:r>
              <w:rPr>
                <w:rFonts w:ascii="Times New Roman" w:hAnsi="Times New Roman"/>
                <w:b w:val="0"/>
                <w:i w:val="0"/>
                <w:sz w:val="20"/>
              </w:rPr>
              <w:t>6–30</w:t>
            </w:r>
          </w:p>
        </w:tc>
      </w:tr>
      <w:tr>
        <w:tc>
          <w:tcPr>
            <w:tcW w:type="dxa" w:w="1500"/>
          </w:tcPr>
          <w:p>
            <w:pPr>
              <w:jc w:val="center"/>
            </w:pPr>
            <w:r/>
            <w:r>
              <w:rPr>
                <w:rFonts w:ascii="Times New Roman" w:hAnsi="Times New Roman"/>
                <w:b w:val="0"/>
                <w:i w:val="0"/>
                <w:sz w:val="20"/>
              </w:rPr>
              <w:t>Full scale</w:t>
            </w:r>
          </w:p>
        </w:tc>
        <w:tc>
          <w:tcPr>
            <w:tcW w:type="dxa" w:w="1500"/>
          </w:tcPr>
          <w:p>
            <w:pPr>
              <w:jc w:val="center"/>
            </w:pPr>
            <w:r/>
            <w:r>
              <w:rPr>
                <w:rFonts w:ascii="Times New Roman" w:hAnsi="Times New Roman"/>
                <w:b w:val="0"/>
                <w:i w:val="0"/>
                <w:sz w:val="20"/>
              </w:rPr>
              <w:t>24</w:t>
            </w:r>
          </w:p>
        </w:tc>
        <w:tc>
          <w:tcPr>
            <w:tcW w:type="dxa" w:w="1500"/>
          </w:tcPr>
          <w:p>
            <w:pPr>
              <w:jc w:val="center"/>
            </w:pPr>
            <w:r/>
            <w:r>
              <w:rPr>
                <w:rFonts w:ascii="Times New Roman" w:hAnsi="Times New Roman"/>
                <w:b w:val="0"/>
                <w:i w:val="0"/>
                <w:sz w:val="20"/>
              </w:rPr>
              <w:t>.91</w:t>
            </w:r>
          </w:p>
        </w:tc>
        <w:tc>
          <w:tcPr>
            <w:tcW w:type="dxa" w:w="1500"/>
          </w:tcPr>
          <w:p>
            <w:pPr>
              <w:jc w:val="center"/>
            </w:pPr>
            <w:r/>
            <w:r>
              <w:rPr>
                <w:rFonts w:ascii="Times New Roman" w:hAnsi="Times New Roman"/>
                <w:b w:val="0"/>
                <w:i w:val="0"/>
                <w:sz w:val="20"/>
              </w:rPr>
              <w:t>90.81</w:t>
            </w:r>
          </w:p>
        </w:tc>
        <w:tc>
          <w:tcPr>
            <w:tcW w:type="dxa" w:w="1500"/>
          </w:tcPr>
          <w:p>
            <w:pPr>
              <w:jc w:val="center"/>
            </w:pPr>
            <w:r/>
            <w:r>
              <w:rPr>
                <w:rFonts w:ascii="Times New Roman" w:hAnsi="Times New Roman"/>
                <w:b w:val="0"/>
                <w:i w:val="0"/>
                <w:sz w:val="20"/>
              </w:rPr>
              <w:t>10.64</w:t>
            </w:r>
          </w:p>
        </w:tc>
        <w:tc>
          <w:tcPr>
            <w:tcW w:type="dxa" w:w="1500"/>
          </w:tcPr>
          <w:p>
            <w:pPr>
              <w:jc w:val="center"/>
            </w:pPr>
            <w:r/>
            <w:r>
              <w:rPr>
                <w:rFonts w:ascii="Times New Roman" w:hAnsi="Times New Roman"/>
                <w:b w:val="0"/>
                <w:i w:val="0"/>
                <w:sz w:val="20"/>
              </w:rPr>
              <w:t>24–120</w:t>
            </w:r>
          </w:p>
        </w:tc>
      </w:tr>
    </w:tbl>
    <w:p>
      <w:pPr>
        <w:spacing w:after="120"/>
      </w:pPr>
    </w:p>
    <w:p>
      <w:pPr>
        <w:spacing w:after="160" w:before="0" w:line="360" w:lineRule="auto"/>
        <w:ind w:firstLine="720"/>
        <w:jc w:val="both"/>
      </w:pPr>
      <w:r>
        <w:rPr>
          <w:rFonts w:ascii="Times New Roman" w:hAnsi="Times New Roman"/>
          <w:b w:val="0"/>
          <w:i w:val="0"/>
          <w:sz w:val="24"/>
        </w:rPr>
        <w:t>All alphas cleared the .70 cut-off we set beforehand. Usability was the most internally consistent subscale (α = .89).</w:t>
      </w:r>
    </w:p>
    <w:p>
      <w:pPr>
        <w:spacing w:before="280" w:after="200" w:line="360" w:lineRule="auto"/>
        <w:ind w:firstLine="0"/>
        <w:jc w:val="left"/>
      </w:pPr>
      <w:r>
        <w:rPr>
          <w:rFonts w:ascii="Times New Roman" w:hAnsi="Times New Roman"/>
          <w:b/>
          <w:i w:val="0"/>
          <w:sz w:val="24"/>
        </w:rPr>
        <w:t>4.7.2 Learning motivation (RQ2)</w:t>
      </w:r>
    </w:p>
    <w:p>
      <w:pPr>
        <w:spacing w:after="160" w:before="0" w:line="360" w:lineRule="auto"/>
        <w:ind w:firstLine="720"/>
        <w:jc w:val="both"/>
      </w:pPr>
      <w:r>
        <w:rPr>
          <w:rFonts w:ascii="Times New Roman" w:hAnsi="Times New Roman"/>
          <w:b w:val="0"/>
          <w:i w:val="0"/>
          <w:sz w:val="24"/>
        </w:rPr>
        <w:t>Motivation averaged 22.14 / 30 (item M = 3.69). The strongest item was pride from earning XP and levelling up (M = 4.12, SD = 0.78). Wanting to open the app even without a scheduled class also scored high (M = 3.88, SD = 0.91), which lines up with the voluntary session extensions in the logs. The softest item was “The platform makes difficult topics feel easy” (M = 3.31, SD = 1.02). Pupils liked the rewards, but they still saw the work as hard. That is closer to a healthy challenge–skill balance than to empty entertainment (Csikszentmihalyi, 1990).</w:t>
      </w:r>
    </w:p>
    <w:p>
      <w:pPr>
        <w:spacing w:before="280" w:after="200" w:line="360" w:lineRule="auto"/>
        <w:ind w:firstLine="0"/>
        <w:jc w:val="left"/>
      </w:pPr>
      <w:r>
        <w:rPr>
          <w:rFonts w:ascii="Times New Roman" w:hAnsi="Times New Roman"/>
          <w:b/>
          <w:i w:val="0"/>
          <w:sz w:val="24"/>
        </w:rPr>
        <w:t>4.7.3 Platform usability (RQ1)</w:t>
      </w:r>
    </w:p>
    <w:p>
      <w:pPr>
        <w:spacing w:after="160" w:before="0" w:line="360" w:lineRule="auto"/>
        <w:ind w:firstLine="720"/>
        <w:jc w:val="both"/>
      </w:pPr>
      <w:r>
        <w:rPr>
          <w:rFonts w:ascii="Times New Roman" w:hAnsi="Times New Roman"/>
          <w:b w:val="0"/>
          <w:i w:val="0"/>
          <w:sz w:val="24"/>
        </w:rPr>
        <w:t>Usability was the highest subscale (M = 23.47; item M = 3.91). “I can find what I need without help from my teacher” scored 4.19 (SD = 0.71). Readability of text and icons scored 4.08 (SD = 0.80). These ratings reflect the child-facing shell we iterated after earlier acceptance testing: larger type, clearer subject cards, and a simple bottom navigation (Home, Explore, Classes, Chats, PASCO, Leaderboard, Rewards, Avatar).</w:t>
      </w:r>
    </w:p>
    <w:p>
      <w:pPr>
        <w:spacing w:after="160" w:before="0" w:line="360" w:lineRule="auto"/>
        <w:ind w:firstLine="720"/>
        <w:jc w:val="both"/>
      </w:pPr>
      <w:r>
        <w:rPr>
          <w:rFonts w:ascii="Times New Roman" w:hAnsi="Times New Roman"/>
          <w:b w:val="0"/>
          <w:i w:val="0"/>
          <w:sz w:val="24"/>
        </w:rPr>
        <w:t>A mean near 3.9 on a five-point scale sits in the “good” band on common usability interpretations (Bangor et al., 2008). It is not perfect. A few pupils with less device experience still needed help on Monday and Tuesday, and teachers asked for even clearer mobile layouts for shared tablets.</w:t>
      </w:r>
    </w:p>
    <w:p>
      <w:pPr>
        <w:spacing w:before="280" w:after="200" w:line="360" w:lineRule="auto"/>
        <w:ind w:firstLine="0"/>
        <w:jc w:val="left"/>
      </w:pPr>
      <w:r>
        <w:rPr>
          <w:rFonts w:ascii="Times New Roman" w:hAnsi="Times New Roman"/>
          <w:b/>
          <w:i w:val="0"/>
          <w:sz w:val="24"/>
        </w:rPr>
        <w:t>4.7.4 Gamification engagement (RQ2, RQ7)</w:t>
      </w:r>
    </w:p>
    <w:p>
      <w:pPr>
        <w:spacing w:after="160" w:before="0" w:line="360" w:lineRule="auto"/>
        <w:ind w:firstLine="720"/>
        <w:jc w:val="both"/>
      </w:pPr>
      <w:r>
        <w:rPr>
          <w:rFonts w:ascii="Times New Roman" w:hAnsi="Times New Roman"/>
          <w:b w:val="0"/>
          <w:i w:val="0"/>
          <w:sz w:val="24"/>
        </w:rPr>
        <w:t>Gamification items averaged 3.82. Achievements and streaks led the ratings: feeling recognised for effort (M = 4.06) and wanting to keep a daily streak (M = 3.97). The leaderboard item sat at 3.94. Understanding exactly how XP is calculated after each quiz was the lowest item (M = 3.42, SD = 1.11). The system is motivating, but the reward maths could be explained more plainly on screen.</w:t>
      </w:r>
    </w:p>
    <w:p>
      <w:pPr>
        <w:spacing w:before="280" w:after="200" w:line="360" w:lineRule="auto"/>
        <w:ind w:firstLine="0"/>
        <w:jc w:val="left"/>
      </w:pPr>
      <w:r>
        <w:rPr>
          <w:rFonts w:ascii="Times New Roman" w:hAnsi="Times New Roman"/>
          <w:b/>
          <w:i w:val="0"/>
          <w:sz w:val="24"/>
        </w:rPr>
        <w:t>4.7.5 Perceived learning, dashboards and classroom collaboration (RQ5, RQ6)</w:t>
      </w:r>
    </w:p>
    <w:p>
      <w:pPr>
        <w:spacing w:after="160" w:before="0" w:line="360" w:lineRule="auto"/>
        <w:ind w:firstLine="720"/>
        <w:jc w:val="both"/>
      </w:pPr>
      <w:r>
        <w:rPr>
          <w:rFonts w:ascii="Times New Roman" w:hAnsi="Times New Roman"/>
          <w:b w:val="0"/>
          <w:i w:val="0"/>
          <w:sz w:val="24"/>
        </w:rPr>
        <w:t>Pupils largely agreed that SkulKid helped them in Mathematics (M = 3.94) and English (M = 3.91). That subjective view matches the test gains in Section 4.4. For RQ5, the student dashboard and class activity cards were rated positively; children said they could see their level, streak, stars and what their class was currently working on.</w:t>
      </w:r>
    </w:p>
    <w:p>
      <w:pPr>
        <w:spacing w:after="160" w:before="0" w:line="360" w:lineRule="auto"/>
        <w:ind w:firstLine="720"/>
        <w:jc w:val="both"/>
      </w:pPr>
      <w:r>
        <w:rPr>
          <w:rFonts w:ascii="Times New Roman" w:hAnsi="Times New Roman"/>
          <w:b w:val="0"/>
          <w:i w:val="0"/>
          <w:sz w:val="24"/>
        </w:rPr>
        <w:t>RQ6 originally asked about multiplayer learning challenges. The shipped system does not include a real-time versus-mode game. Collaboration happens through class membership, shared quizzes, chat, reactions, Helper of the Week recognition, and teacher shout-outs or XP surprises. Items about competing with classmates (M = 3.72) and working with others on challenges (M = 3.64) were still positive, but they showed more spread than the usability items. Some pupils loved the social race; a smaller group preferred quiet individual practice. We read that as a design reminder: social features should stay optional and class-scoped, not forced.</w:t>
      </w:r>
    </w:p>
    <w:p>
      <w:pPr>
        <w:spacing w:before="280" w:after="200" w:line="360" w:lineRule="auto"/>
        <w:ind w:firstLine="0"/>
        <w:jc w:val="left"/>
      </w:pPr>
      <w:r>
        <w:rPr>
          <w:rFonts w:ascii="Times New Roman" w:hAnsi="Times New Roman"/>
          <w:b/>
          <w:i w:val="0"/>
          <w:sz w:val="24"/>
        </w:rPr>
        <w:t>4.8 PLS-SEM Structural Model Results</w:t>
      </w:r>
    </w:p>
    <w:p>
      <w:pPr>
        <w:spacing w:after="160" w:before="0" w:line="360" w:lineRule="auto"/>
        <w:ind w:firstLine="720"/>
        <w:jc w:val="both"/>
      </w:pPr>
      <w:r>
        <w:rPr>
          <w:rFonts w:ascii="Times New Roman" w:hAnsi="Times New Roman"/>
          <w:b w:val="0"/>
          <w:i w:val="0"/>
          <w:sz w:val="24"/>
        </w:rPr>
        <w:t>To examine how the engagement constructs related to performance inside the experimental group, we estimated a PLS-SEM model in SmartPLS 4 with 5,000 bootstrap samples. The four latent constructs were Gamification Engagement (GE), Adaptive Progression Behaviour (APB), Academic Motivation (AM), and Academic Performance (AP).</w:t>
      </w:r>
    </w:p>
    <w:p>
      <w:pPr>
        <w:spacing w:before="280" w:after="200" w:line="360" w:lineRule="auto"/>
        <w:ind w:firstLine="0"/>
        <w:jc w:val="left"/>
      </w:pPr>
      <w:r>
        <w:rPr>
          <w:rFonts w:ascii="Times New Roman" w:hAnsi="Times New Roman"/>
          <w:b/>
          <w:i w:val="0"/>
          <w:sz w:val="24"/>
        </w:rPr>
        <w:t>4.8.1 Measurement model</w:t>
      </w:r>
    </w:p>
    <w:p>
      <w:pPr>
        <w:spacing w:after="160" w:before="0" w:line="360" w:lineRule="auto"/>
        <w:ind w:firstLine="720"/>
        <w:jc w:val="both"/>
      </w:pPr>
      <w:r>
        <w:rPr>
          <w:rFonts w:ascii="Times New Roman" w:hAnsi="Times New Roman"/>
          <w:b w:val="0"/>
          <w:i w:val="0"/>
          <w:sz w:val="24"/>
        </w:rPr>
        <w:t>Composite reliability ranged from 0.81 to 0.91. AVE values were all above 0.50. HTMT ratios stayed below 0.85, so the constructs were distinct enough to interpret separately. SRMR was 0.062, under the usual 0.08 guideline.</w:t>
      </w:r>
    </w:p>
    <w:p>
      <w:pPr>
        <w:spacing w:after="120" w:before="200" w:line="360" w:lineRule="auto"/>
        <w:jc w:val="center"/>
      </w:pPr>
      <w:r>
        <w:rPr>
          <w:rFonts w:ascii="Times New Roman" w:hAnsi="Times New Roman"/>
          <w:b/>
          <w:i w:val="0"/>
          <w:sz w:val="22"/>
        </w:rPr>
        <w:t>Table 4.10: Measurement model quality criteria</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pPr>
              <w:jc w:val="center"/>
            </w:pPr>
            <w:r/>
            <w:r>
              <w:rPr>
                <w:rFonts w:ascii="Times New Roman" w:hAnsi="Times New Roman"/>
                <w:b/>
                <w:i w:val="0"/>
                <w:sz w:val="20"/>
              </w:rPr>
              <w:t>Construct</w:t>
            </w:r>
          </w:p>
        </w:tc>
        <w:tc>
          <w:tcPr>
            <w:tcW w:type="dxa" w:w="1800"/>
          </w:tcPr>
          <w:p>
            <w:pPr>
              <w:jc w:val="center"/>
            </w:pPr>
            <w:r/>
            <w:r>
              <w:rPr>
                <w:rFonts w:ascii="Times New Roman" w:hAnsi="Times New Roman"/>
                <w:b/>
                <w:i w:val="0"/>
                <w:sz w:val="20"/>
              </w:rPr>
              <w:t>CR</w:t>
            </w:r>
          </w:p>
        </w:tc>
        <w:tc>
          <w:tcPr>
            <w:tcW w:type="dxa" w:w="1800"/>
          </w:tcPr>
          <w:p>
            <w:pPr>
              <w:jc w:val="center"/>
            </w:pPr>
            <w:r/>
            <w:r>
              <w:rPr>
                <w:rFonts w:ascii="Times New Roman" w:hAnsi="Times New Roman"/>
                <w:b/>
                <w:i w:val="0"/>
                <w:sz w:val="20"/>
              </w:rPr>
              <w:t>AVE</w:t>
            </w:r>
          </w:p>
        </w:tc>
        <w:tc>
          <w:tcPr>
            <w:tcW w:type="dxa" w:w="1800"/>
          </w:tcPr>
          <w:p>
            <w:pPr>
              <w:jc w:val="center"/>
            </w:pPr>
            <w:r/>
            <w:r>
              <w:rPr>
                <w:rFonts w:ascii="Times New Roman" w:hAnsi="Times New Roman"/>
                <w:b/>
                <w:i w:val="0"/>
                <w:sz w:val="20"/>
              </w:rPr>
              <w:t>Highest HTMT</w:t>
            </w:r>
          </w:p>
        </w:tc>
        <w:tc>
          <w:tcPr>
            <w:tcW w:type="dxa" w:w="1800"/>
          </w:tcPr>
          <w:p>
            <w:pPr>
              <w:jc w:val="center"/>
            </w:pPr>
            <w:r/>
            <w:r>
              <w:rPr>
                <w:rFonts w:ascii="Times New Roman" w:hAnsi="Times New Roman"/>
                <w:b/>
                <w:i w:val="0"/>
                <w:sz w:val="20"/>
              </w:rPr>
              <w:t>Loading range</w:t>
            </w:r>
          </w:p>
        </w:tc>
      </w:tr>
      <w:tr>
        <w:tc>
          <w:tcPr>
            <w:tcW w:type="dxa" w:w="1800"/>
          </w:tcPr>
          <w:p>
            <w:pPr>
              <w:jc w:val="center"/>
            </w:pPr>
            <w:r/>
            <w:r>
              <w:rPr>
                <w:rFonts w:ascii="Times New Roman" w:hAnsi="Times New Roman"/>
                <w:b w:val="0"/>
                <w:i w:val="0"/>
                <w:sz w:val="20"/>
              </w:rPr>
              <w:t>Gamification Engagement (GE)</w:t>
            </w:r>
          </w:p>
        </w:tc>
        <w:tc>
          <w:tcPr>
            <w:tcW w:type="dxa" w:w="1800"/>
          </w:tcPr>
          <w:p>
            <w:pPr>
              <w:jc w:val="center"/>
            </w:pPr>
            <w:r/>
            <w:r>
              <w:rPr>
                <w:rFonts w:ascii="Times New Roman" w:hAnsi="Times New Roman"/>
                <w:b w:val="0"/>
                <w:i w:val="0"/>
                <w:sz w:val="20"/>
              </w:rPr>
              <w:t>0.88</w:t>
            </w:r>
          </w:p>
        </w:tc>
        <w:tc>
          <w:tcPr>
            <w:tcW w:type="dxa" w:w="1800"/>
          </w:tcPr>
          <w:p>
            <w:pPr>
              <w:jc w:val="center"/>
            </w:pPr>
            <w:r/>
            <w:r>
              <w:rPr>
                <w:rFonts w:ascii="Times New Roman" w:hAnsi="Times New Roman"/>
                <w:b w:val="0"/>
                <w:i w:val="0"/>
                <w:sz w:val="20"/>
              </w:rPr>
              <w:t>0.61</w:t>
            </w:r>
          </w:p>
        </w:tc>
        <w:tc>
          <w:tcPr>
            <w:tcW w:type="dxa" w:w="1800"/>
          </w:tcPr>
          <w:p>
            <w:pPr>
              <w:jc w:val="center"/>
            </w:pPr>
            <w:r/>
            <w:r>
              <w:rPr>
                <w:rFonts w:ascii="Times New Roman" w:hAnsi="Times New Roman"/>
                <w:b w:val="0"/>
                <w:i w:val="0"/>
                <w:sz w:val="20"/>
              </w:rPr>
              <w:t>0.74</w:t>
            </w:r>
          </w:p>
        </w:tc>
        <w:tc>
          <w:tcPr>
            <w:tcW w:type="dxa" w:w="1800"/>
          </w:tcPr>
          <w:p>
            <w:pPr>
              <w:jc w:val="center"/>
            </w:pPr>
            <w:r/>
            <w:r>
              <w:rPr>
                <w:rFonts w:ascii="Times New Roman" w:hAnsi="Times New Roman"/>
                <w:b w:val="0"/>
                <w:i w:val="0"/>
                <w:sz w:val="20"/>
              </w:rPr>
              <w:t>0.71–0.84</w:t>
            </w:r>
          </w:p>
        </w:tc>
      </w:tr>
      <w:tr>
        <w:tc>
          <w:tcPr>
            <w:tcW w:type="dxa" w:w="1800"/>
          </w:tcPr>
          <w:p>
            <w:pPr>
              <w:jc w:val="center"/>
            </w:pPr>
            <w:r/>
            <w:r>
              <w:rPr>
                <w:rFonts w:ascii="Times New Roman" w:hAnsi="Times New Roman"/>
                <w:b w:val="0"/>
                <w:i w:val="0"/>
                <w:sz w:val="20"/>
              </w:rPr>
              <w:t>Adaptive Progression Behaviour (APB)</w:t>
            </w:r>
          </w:p>
        </w:tc>
        <w:tc>
          <w:tcPr>
            <w:tcW w:type="dxa" w:w="1800"/>
          </w:tcPr>
          <w:p>
            <w:pPr>
              <w:jc w:val="center"/>
            </w:pPr>
            <w:r/>
            <w:r>
              <w:rPr>
                <w:rFonts w:ascii="Times New Roman" w:hAnsi="Times New Roman"/>
                <w:b w:val="0"/>
                <w:i w:val="0"/>
                <w:sz w:val="20"/>
              </w:rPr>
              <w:t>0.83</w:t>
            </w:r>
          </w:p>
        </w:tc>
        <w:tc>
          <w:tcPr>
            <w:tcW w:type="dxa" w:w="1800"/>
          </w:tcPr>
          <w:p>
            <w:pPr>
              <w:jc w:val="center"/>
            </w:pPr>
            <w:r/>
            <w:r>
              <w:rPr>
                <w:rFonts w:ascii="Times New Roman" w:hAnsi="Times New Roman"/>
                <w:b w:val="0"/>
                <w:i w:val="0"/>
                <w:sz w:val="20"/>
              </w:rPr>
              <w:t>0.56</w:t>
            </w:r>
          </w:p>
        </w:tc>
        <w:tc>
          <w:tcPr>
            <w:tcW w:type="dxa" w:w="1800"/>
          </w:tcPr>
          <w:p>
            <w:pPr>
              <w:jc w:val="center"/>
            </w:pPr>
            <w:r/>
            <w:r>
              <w:rPr>
                <w:rFonts w:ascii="Times New Roman" w:hAnsi="Times New Roman"/>
                <w:b w:val="0"/>
                <w:i w:val="0"/>
                <w:sz w:val="20"/>
              </w:rPr>
              <w:t>0.68</w:t>
            </w:r>
          </w:p>
        </w:tc>
        <w:tc>
          <w:tcPr>
            <w:tcW w:type="dxa" w:w="1800"/>
          </w:tcPr>
          <w:p>
            <w:pPr>
              <w:jc w:val="center"/>
            </w:pPr>
            <w:r/>
            <w:r>
              <w:rPr>
                <w:rFonts w:ascii="Times New Roman" w:hAnsi="Times New Roman"/>
                <w:b w:val="0"/>
                <w:i w:val="0"/>
                <w:sz w:val="20"/>
              </w:rPr>
              <w:t>0.69–0.81</w:t>
            </w:r>
          </w:p>
        </w:tc>
      </w:tr>
      <w:tr>
        <w:tc>
          <w:tcPr>
            <w:tcW w:type="dxa" w:w="1800"/>
          </w:tcPr>
          <w:p>
            <w:pPr>
              <w:jc w:val="center"/>
            </w:pPr>
            <w:r/>
            <w:r>
              <w:rPr>
                <w:rFonts w:ascii="Times New Roman" w:hAnsi="Times New Roman"/>
                <w:b w:val="0"/>
                <w:i w:val="0"/>
                <w:sz w:val="20"/>
              </w:rPr>
              <w:t>Academic Motivation (AM)</w:t>
            </w:r>
          </w:p>
        </w:tc>
        <w:tc>
          <w:tcPr>
            <w:tcW w:type="dxa" w:w="1800"/>
          </w:tcPr>
          <w:p>
            <w:pPr>
              <w:jc w:val="center"/>
            </w:pPr>
            <w:r/>
            <w:r>
              <w:rPr>
                <w:rFonts w:ascii="Times New Roman" w:hAnsi="Times New Roman"/>
                <w:b w:val="0"/>
                <w:i w:val="0"/>
                <w:sz w:val="20"/>
              </w:rPr>
              <w:t>0.86</w:t>
            </w:r>
          </w:p>
        </w:tc>
        <w:tc>
          <w:tcPr>
            <w:tcW w:type="dxa" w:w="1800"/>
          </w:tcPr>
          <w:p>
            <w:pPr>
              <w:jc w:val="center"/>
            </w:pPr>
            <w:r/>
            <w:r>
              <w:rPr>
                <w:rFonts w:ascii="Times New Roman" w:hAnsi="Times New Roman"/>
                <w:b w:val="0"/>
                <w:i w:val="0"/>
                <w:sz w:val="20"/>
              </w:rPr>
              <w:t>0.59</w:t>
            </w:r>
          </w:p>
        </w:tc>
        <w:tc>
          <w:tcPr>
            <w:tcW w:type="dxa" w:w="1800"/>
          </w:tcPr>
          <w:p>
            <w:pPr>
              <w:jc w:val="center"/>
            </w:pPr>
            <w:r/>
            <w:r>
              <w:rPr>
                <w:rFonts w:ascii="Times New Roman" w:hAnsi="Times New Roman"/>
                <w:b w:val="0"/>
                <w:i w:val="0"/>
                <w:sz w:val="20"/>
              </w:rPr>
              <w:t>0.72</w:t>
            </w:r>
          </w:p>
        </w:tc>
        <w:tc>
          <w:tcPr>
            <w:tcW w:type="dxa" w:w="1800"/>
          </w:tcPr>
          <w:p>
            <w:pPr>
              <w:jc w:val="center"/>
            </w:pPr>
            <w:r/>
            <w:r>
              <w:rPr>
                <w:rFonts w:ascii="Times New Roman" w:hAnsi="Times New Roman"/>
                <w:b w:val="0"/>
                <w:i w:val="0"/>
                <w:sz w:val="20"/>
              </w:rPr>
              <w:t>0.70–0.83</w:t>
            </w:r>
          </w:p>
        </w:tc>
      </w:tr>
      <w:tr>
        <w:tc>
          <w:tcPr>
            <w:tcW w:type="dxa" w:w="1800"/>
          </w:tcPr>
          <w:p>
            <w:pPr>
              <w:jc w:val="center"/>
            </w:pPr>
            <w:r/>
            <w:r>
              <w:rPr>
                <w:rFonts w:ascii="Times New Roman" w:hAnsi="Times New Roman"/>
                <w:b w:val="0"/>
                <w:i w:val="0"/>
                <w:sz w:val="20"/>
              </w:rPr>
              <w:t>Academic Performance (AP)</w:t>
            </w:r>
          </w:p>
        </w:tc>
        <w:tc>
          <w:tcPr>
            <w:tcW w:type="dxa" w:w="1800"/>
          </w:tcPr>
          <w:p>
            <w:pPr>
              <w:jc w:val="center"/>
            </w:pPr>
            <w:r/>
            <w:r>
              <w:rPr>
                <w:rFonts w:ascii="Times New Roman" w:hAnsi="Times New Roman"/>
                <w:b w:val="0"/>
                <w:i w:val="0"/>
                <w:sz w:val="20"/>
              </w:rPr>
              <w:t>0.91</w:t>
            </w:r>
          </w:p>
        </w:tc>
        <w:tc>
          <w:tcPr>
            <w:tcW w:type="dxa" w:w="1800"/>
          </w:tcPr>
          <w:p>
            <w:pPr>
              <w:jc w:val="center"/>
            </w:pPr>
            <w:r/>
            <w:r>
              <w:rPr>
                <w:rFonts w:ascii="Times New Roman" w:hAnsi="Times New Roman"/>
                <w:b w:val="0"/>
                <w:i w:val="0"/>
                <w:sz w:val="20"/>
              </w:rPr>
              <w:t>0.67</w:t>
            </w:r>
          </w:p>
        </w:tc>
        <w:tc>
          <w:tcPr>
            <w:tcW w:type="dxa" w:w="1800"/>
          </w:tcPr>
          <w:p>
            <w:pPr>
              <w:jc w:val="center"/>
            </w:pPr>
            <w:r/>
            <w:r>
              <w:rPr>
                <w:rFonts w:ascii="Times New Roman" w:hAnsi="Times New Roman"/>
                <w:b w:val="0"/>
                <w:i w:val="0"/>
                <w:sz w:val="20"/>
              </w:rPr>
              <w:t>0.74</w:t>
            </w:r>
          </w:p>
        </w:tc>
        <w:tc>
          <w:tcPr>
            <w:tcW w:type="dxa" w:w="1800"/>
          </w:tcPr>
          <w:p>
            <w:pPr>
              <w:jc w:val="center"/>
            </w:pPr>
            <w:r/>
            <w:r>
              <w:rPr>
                <w:rFonts w:ascii="Times New Roman" w:hAnsi="Times New Roman"/>
                <w:b w:val="0"/>
                <w:i w:val="0"/>
                <w:sz w:val="20"/>
              </w:rPr>
              <w:t>0.78–0.88</w:t>
            </w:r>
          </w:p>
        </w:tc>
      </w:tr>
    </w:tbl>
    <w:p>
      <w:pPr>
        <w:spacing w:after="120"/>
      </w:pPr>
    </w:p>
    <w:p>
      <w:pPr>
        <w:spacing w:before="280" w:after="200" w:line="360" w:lineRule="auto"/>
        <w:ind w:firstLine="0"/>
        <w:jc w:val="left"/>
      </w:pPr>
      <w:r>
        <w:rPr>
          <w:rFonts w:ascii="Times New Roman" w:hAnsi="Times New Roman"/>
          <w:b/>
          <w:i w:val="0"/>
          <w:sz w:val="24"/>
        </w:rPr>
        <w:t>4.8.2 Structural paths</w:t>
      </w:r>
    </w:p>
    <w:p>
      <w:pPr>
        <w:spacing w:after="160" w:before="0" w:line="360" w:lineRule="auto"/>
        <w:ind w:firstLine="720"/>
        <w:jc w:val="both"/>
      </w:pPr>
      <w:r>
        <w:rPr>
          <w:rFonts w:ascii="Times New Roman" w:hAnsi="Times New Roman"/>
          <w:b w:val="0"/>
          <w:i w:val="0"/>
          <w:sz w:val="24"/>
        </w:rPr>
        <w:t>All four hypothesised paths were significant. Together the predictors explained 64.2% of the variance in Academic Performance (R² = .642).</w:t>
      </w:r>
    </w:p>
    <w:p>
      <w:pPr>
        <w:spacing w:after="120" w:before="200" w:line="360" w:lineRule="auto"/>
        <w:jc w:val="center"/>
      </w:pPr>
      <w:r>
        <w:rPr>
          <w:rFonts w:ascii="Times New Roman" w:hAnsi="Times New Roman"/>
          <w:b/>
          <w:i w:val="0"/>
          <w:sz w:val="22"/>
        </w:rPr>
        <w:t>Table 4.11: Structural path coefficients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
              <w:rPr>
                <w:rFonts w:ascii="Times New Roman" w:hAnsi="Times New Roman"/>
                <w:b/>
                <w:i w:val="0"/>
                <w:sz w:val="20"/>
              </w:rPr>
              <w:t>Hypothesis</w:t>
            </w:r>
          </w:p>
        </w:tc>
        <w:tc>
          <w:tcPr>
            <w:tcW w:type="dxa" w:w="1500"/>
          </w:tcPr>
          <w:p>
            <w:pPr>
              <w:jc w:val="center"/>
            </w:pPr>
            <w:r/>
            <w:r>
              <w:rPr>
                <w:rFonts w:ascii="Times New Roman" w:hAnsi="Times New Roman"/>
                <w:b/>
                <w:i w:val="0"/>
                <w:sz w:val="20"/>
              </w:rPr>
              <w:t>Path</w:t>
            </w:r>
          </w:p>
        </w:tc>
        <w:tc>
          <w:tcPr>
            <w:tcW w:type="dxa" w:w="1500"/>
          </w:tcPr>
          <w:p>
            <w:pPr>
              <w:jc w:val="center"/>
            </w:pPr>
            <w:r/>
            <w:r>
              <w:rPr>
                <w:rFonts w:ascii="Times New Roman" w:hAnsi="Times New Roman"/>
                <w:b/>
                <w:i w:val="0"/>
                <w:sz w:val="20"/>
              </w:rPr>
              <w:t>β</w:t>
            </w:r>
          </w:p>
        </w:tc>
        <w:tc>
          <w:tcPr>
            <w:tcW w:type="dxa" w:w="1500"/>
          </w:tcPr>
          <w:p>
            <w:pPr>
              <w:jc w:val="center"/>
            </w:pPr>
            <w:r/>
            <w:r>
              <w:rPr>
                <w:rFonts w:ascii="Times New Roman" w:hAnsi="Times New Roman"/>
                <w:b/>
                <w:i w:val="0"/>
                <w:sz w:val="20"/>
              </w:rPr>
              <w:t>t</w:t>
            </w:r>
          </w:p>
        </w:tc>
        <w:tc>
          <w:tcPr>
            <w:tcW w:type="dxa" w:w="1500"/>
          </w:tcPr>
          <w:p>
            <w:pPr>
              <w:jc w:val="center"/>
            </w:pPr>
            <w:r/>
            <w:r>
              <w:rPr>
                <w:rFonts w:ascii="Times New Roman" w:hAnsi="Times New Roman"/>
                <w:b/>
                <w:i w:val="0"/>
                <w:sz w:val="20"/>
              </w:rPr>
              <w:t>95% CI</w:t>
            </w:r>
          </w:p>
        </w:tc>
        <w:tc>
          <w:tcPr>
            <w:tcW w:type="dxa" w:w="1500"/>
          </w:tcPr>
          <w:p>
            <w:pPr>
              <w:jc w:val="center"/>
            </w:pPr>
            <w:r/>
            <w:r>
              <w:rPr>
                <w:rFonts w:ascii="Times New Roman" w:hAnsi="Times New Roman"/>
                <w:b/>
                <w:i w:val="0"/>
                <w:sz w:val="20"/>
              </w:rPr>
              <w:t>Decision</w:t>
            </w:r>
          </w:p>
        </w:tc>
      </w:tr>
      <w:tr>
        <w:tc>
          <w:tcPr>
            <w:tcW w:type="dxa" w:w="1500"/>
          </w:tcPr>
          <w:p>
            <w:pPr>
              <w:jc w:val="center"/>
            </w:pPr>
            <w:r/>
            <w:r>
              <w:rPr>
                <w:rFonts w:ascii="Times New Roman" w:hAnsi="Times New Roman"/>
                <w:b w:val="0"/>
                <w:i w:val="0"/>
                <w:sz w:val="20"/>
              </w:rPr>
              <w:t>H1</w:t>
            </w:r>
          </w:p>
        </w:tc>
        <w:tc>
          <w:tcPr>
            <w:tcW w:type="dxa" w:w="1500"/>
          </w:tcPr>
          <w:p>
            <w:pPr>
              <w:jc w:val="center"/>
            </w:pPr>
            <w:r/>
            <w:r>
              <w:rPr>
                <w:rFonts w:ascii="Times New Roman" w:hAnsi="Times New Roman"/>
                <w:b w:val="0"/>
                <w:i w:val="0"/>
                <w:sz w:val="20"/>
              </w:rPr>
              <w:t>GE → AM</w:t>
            </w:r>
          </w:p>
        </w:tc>
        <w:tc>
          <w:tcPr>
            <w:tcW w:type="dxa" w:w="1500"/>
          </w:tcPr>
          <w:p>
            <w:pPr>
              <w:jc w:val="center"/>
            </w:pPr>
            <w:r/>
            <w:r>
              <w:rPr>
                <w:rFonts w:ascii="Times New Roman" w:hAnsi="Times New Roman"/>
                <w:b w:val="0"/>
                <w:i w:val="0"/>
                <w:sz w:val="20"/>
              </w:rPr>
              <w:t>0.54</w:t>
            </w:r>
          </w:p>
        </w:tc>
        <w:tc>
          <w:tcPr>
            <w:tcW w:type="dxa" w:w="1500"/>
          </w:tcPr>
          <w:p>
            <w:pPr>
              <w:jc w:val="center"/>
            </w:pPr>
            <w:r/>
            <w:r>
              <w:rPr>
                <w:rFonts w:ascii="Times New Roman" w:hAnsi="Times New Roman"/>
                <w:b w:val="0"/>
                <w:i w:val="0"/>
                <w:sz w:val="20"/>
              </w:rPr>
              <w:t>7.83</w:t>
            </w:r>
          </w:p>
        </w:tc>
        <w:tc>
          <w:tcPr>
            <w:tcW w:type="dxa" w:w="1500"/>
          </w:tcPr>
          <w:p>
            <w:pPr>
              <w:jc w:val="center"/>
            </w:pPr>
            <w:r/>
            <w:r>
              <w:rPr>
                <w:rFonts w:ascii="Times New Roman" w:hAnsi="Times New Roman"/>
                <w:b w:val="0"/>
                <w:i w:val="0"/>
                <w:sz w:val="20"/>
              </w:rPr>
              <w:t>[0.40, 0.68]</w:t>
            </w:r>
          </w:p>
        </w:tc>
        <w:tc>
          <w:tcPr>
            <w:tcW w:type="dxa" w:w="1500"/>
          </w:tcPr>
          <w:p>
            <w:pPr>
              <w:jc w:val="center"/>
            </w:pPr>
            <w:r/>
            <w:r>
              <w:rPr>
                <w:rFonts w:ascii="Times New Roman" w:hAnsi="Times New Roman"/>
                <w:b w:val="0"/>
                <w:i w:val="0"/>
                <w:sz w:val="20"/>
              </w:rPr>
              <w:t>Supported</w:t>
            </w:r>
          </w:p>
        </w:tc>
      </w:tr>
      <w:tr>
        <w:tc>
          <w:tcPr>
            <w:tcW w:type="dxa" w:w="1500"/>
          </w:tcPr>
          <w:p>
            <w:pPr>
              <w:jc w:val="center"/>
            </w:pPr>
            <w:r/>
            <w:r>
              <w:rPr>
                <w:rFonts w:ascii="Times New Roman" w:hAnsi="Times New Roman"/>
                <w:b w:val="0"/>
                <w:i w:val="0"/>
                <w:sz w:val="20"/>
              </w:rPr>
              <w:t>H2</w:t>
            </w:r>
          </w:p>
        </w:tc>
        <w:tc>
          <w:tcPr>
            <w:tcW w:type="dxa" w:w="1500"/>
          </w:tcPr>
          <w:p>
            <w:pPr>
              <w:jc w:val="center"/>
            </w:pPr>
            <w:r/>
            <w:r>
              <w:rPr>
                <w:rFonts w:ascii="Times New Roman" w:hAnsi="Times New Roman"/>
                <w:b w:val="0"/>
                <w:i w:val="0"/>
                <w:sz w:val="20"/>
              </w:rPr>
              <w:t>GE → AP</w:t>
            </w:r>
          </w:p>
        </w:tc>
        <w:tc>
          <w:tcPr>
            <w:tcW w:type="dxa" w:w="1500"/>
          </w:tcPr>
          <w:p>
            <w:pPr>
              <w:jc w:val="center"/>
            </w:pPr>
            <w:r/>
            <w:r>
              <w:rPr>
                <w:rFonts w:ascii="Times New Roman" w:hAnsi="Times New Roman"/>
                <w:b w:val="0"/>
                <w:i w:val="0"/>
                <w:sz w:val="20"/>
              </w:rPr>
              <w:t>0.31</w:t>
            </w:r>
          </w:p>
        </w:tc>
        <w:tc>
          <w:tcPr>
            <w:tcW w:type="dxa" w:w="1500"/>
          </w:tcPr>
          <w:p>
            <w:pPr>
              <w:jc w:val="center"/>
            </w:pPr>
            <w:r/>
            <w:r>
              <w:rPr>
                <w:rFonts w:ascii="Times New Roman" w:hAnsi="Times New Roman"/>
                <w:b w:val="0"/>
                <w:i w:val="0"/>
                <w:sz w:val="20"/>
              </w:rPr>
              <w:t>4.12</w:t>
            </w:r>
          </w:p>
        </w:tc>
        <w:tc>
          <w:tcPr>
            <w:tcW w:type="dxa" w:w="1500"/>
          </w:tcPr>
          <w:p>
            <w:pPr>
              <w:jc w:val="center"/>
            </w:pPr>
            <w:r/>
            <w:r>
              <w:rPr>
                <w:rFonts w:ascii="Times New Roman" w:hAnsi="Times New Roman"/>
                <w:b w:val="0"/>
                <w:i w:val="0"/>
                <w:sz w:val="20"/>
              </w:rPr>
              <w:t>[0.16, 0.46]</w:t>
            </w:r>
          </w:p>
        </w:tc>
        <w:tc>
          <w:tcPr>
            <w:tcW w:type="dxa" w:w="1500"/>
          </w:tcPr>
          <w:p>
            <w:pPr>
              <w:jc w:val="center"/>
            </w:pPr>
            <w:r/>
            <w:r>
              <w:rPr>
                <w:rFonts w:ascii="Times New Roman" w:hAnsi="Times New Roman"/>
                <w:b w:val="0"/>
                <w:i w:val="0"/>
                <w:sz w:val="20"/>
              </w:rPr>
              <w:t>Supported</w:t>
            </w:r>
          </w:p>
        </w:tc>
      </w:tr>
      <w:tr>
        <w:tc>
          <w:tcPr>
            <w:tcW w:type="dxa" w:w="1500"/>
          </w:tcPr>
          <w:p>
            <w:pPr>
              <w:jc w:val="center"/>
            </w:pPr>
            <w:r/>
            <w:r>
              <w:rPr>
                <w:rFonts w:ascii="Times New Roman" w:hAnsi="Times New Roman"/>
                <w:b w:val="0"/>
                <w:i w:val="0"/>
                <w:sz w:val="20"/>
              </w:rPr>
              <w:t>H3</w:t>
            </w:r>
          </w:p>
        </w:tc>
        <w:tc>
          <w:tcPr>
            <w:tcW w:type="dxa" w:w="1500"/>
          </w:tcPr>
          <w:p>
            <w:pPr>
              <w:jc w:val="center"/>
            </w:pPr>
            <w:r/>
            <w:r>
              <w:rPr>
                <w:rFonts w:ascii="Times New Roman" w:hAnsi="Times New Roman"/>
                <w:b w:val="0"/>
                <w:i w:val="0"/>
                <w:sz w:val="20"/>
              </w:rPr>
              <w:t>APB → AP</w:t>
            </w:r>
          </w:p>
        </w:tc>
        <w:tc>
          <w:tcPr>
            <w:tcW w:type="dxa" w:w="1500"/>
          </w:tcPr>
          <w:p>
            <w:pPr>
              <w:jc w:val="center"/>
            </w:pPr>
            <w:r/>
            <w:r>
              <w:rPr>
                <w:rFonts w:ascii="Times New Roman" w:hAnsi="Times New Roman"/>
                <w:b w:val="0"/>
                <w:i w:val="0"/>
                <w:sz w:val="20"/>
              </w:rPr>
              <w:t>0.38</w:t>
            </w:r>
          </w:p>
        </w:tc>
        <w:tc>
          <w:tcPr>
            <w:tcW w:type="dxa" w:w="1500"/>
          </w:tcPr>
          <w:p>
            <w:pPr>
              <w:jc w:val="center"/>
            </w:pPr>
            <w:r/>
            <w:r>
              <w:rPr>
                <w:rFonts w:ascii="Times New Roman" w:hAnsi="Times New Roman"/>
                <w:b w:val="0"/>
                <w:i w:val="0"/>
                <w:sz w:val="20"/>
              </w:rPr>
              <w:t>5.47</w:t>
            </w:r>
          </w:p>
        </w:tc>
        <w:tc>
          <w:tcPr>
            <w:tcW w:type="dxa" w:w="1500"/>
          </w:tcPr>
          <w:p>
            <w:pPr>
              <w:jc w:val="center"/>
            </w:pPr>
            <w:r/>
            <w:r>
              <w:rPr>
                <w:rFonts w:ascii="Times New Roman" w:hAnsi="Times New Roman"/>
                <w:b w:val="0"/>
                <w:i w:val="0"/>
                <w:sz w:val="20"/>
              </w:rPr>
              <w:t>[0.24, 0.52]</w:t>
            </w:r>
          </w:p>
        </w:tc>
        <w:tc>
          <w:tcPr>
            <w:tcW w:type="dxa" w:w="1500"/>
          </w:tcPr>
          <w:p>
            <w:pPr>
              <w:jc w:val="center"/>
            </w:pPr>
            <w:r/>
            <w:r>
              <w:rPr>
                <w:rFonts w:ascii="Times New Roman" w:hAnsi="Times New Roman"/>
                <w:b w:val="0"/>
                <w:i w:val="0"/>
                <w:sz w:val="20"/>
              </w:rPr>
              <w:t>Supported</w:t>
            </w:r>
          </w:p>
        </w:tc>
      </w:tr>
      <w:tr>
        <w:tc>
          <w:tcPr>
            <w:tcW w:type="dxa" w:w="1500"/>
          </w:tcPr>
          <w:p>
            <w:pPr>
              <w:jc w:val="center"/>
            </w:pPr>
            <w:r/>
            <w:r>
              <w:rPr>
                <w:rFonts w:ascii="Times New Roman" w:hAnsi="Times New Roman"/>
                <w:b w:val="0"/>
                <w:i w:val="0"/>
                <w:sz w:val="20"/>
              </w:rPr>
              <w:t>H4</w:t>
            </w:r>
          </w:p>
        </w:tc>
        <w:tc>
          <w:tcPr>
            <w:tcW w:type="dxa" w:w="1500"/>
          </w:tcPr>
          <w:p>
            <w:pPr>
              <w:jc w:val="center"/>
            </w:pPr>
            <w:r/>
            <w:r>
              <w:rPr>
                <w:rFonts w:ascii="Times New Roman" w:hAnsi="Times New Roman"/>
                <w:b w:val="0"/>
                <w:i w:val="0"/>
                <w:sz w:val="20"/>
              </w:rPr>
              <w:t>AM → AP</w:t>
            </w:r>
          </w:p>
        </w:tc>
        <w:tc>
          <w:tcPr>
            <w:tcW w:type="dxa" w:w="1500"/>
          </w:tcPr>
          <w:p>
            <w:pPr>
              <w:jc w:val="center"/>
            </w:pPr>
            <w:r/>
            <w:r>
              <w:rPr>
                <w:rFonts w:ascii="Times New Roman" w:hAnsi="Times New Roman"/>
                <w:b w:val="0"/>
                <w:i w:val="0"/>
                <w:sz w:val="20"/>
              </w:rPr>
              <w:t>0.27</w:t>
            </w:r>
          </w:p>
        </w:tc>
        <w:tc>
          <w:tcPr>
            <w:tcW w:type="dxa" w:w="1500"/>
          </w:tcPr>
          <w:p>
            <w:pPr>
              <w:jc w:val="center"/>
            </w:pPr>
            <w:r/>
            <w:r>
              <w:rPr>
                <w:rFonts w:ascii="Times New Roman" w:hAnsi="Times New Roman"/>
                <w:b w:val="0"/>
                <w:i w:val="0"/>
                <w:sz w:val="20"/>
              </w:rPr>
              <w:t>3.91</w:t>
            </w:r>
          </w:p>
        </w:tc>
        <w:tc>
          <w:tcPr>
            <w:tcW w:type="dxa" w:w="1500"/>
          </w:tcPr>
          <w:p>
            <w:pPr>
              <w:jc w:val="center"/>
            </w:pPr>
            <w:r/>
            <w:r>
              <w:rPr>
                <w:rFonts w:ascii="Times New Roman" w:hAnsi="Times New Roman"/>
                <w:b w:val="0"/>
                <w:i w:val="0"/>
                <w:sz w:val="20"/>
              </w:rPr>
              <w:t>[0.13, 0.41]</w:t>
            </w:r>
          </w:p>
        </w:tc>
        <w:tc>
          <w:tcPr>
            <w:tcW w:type="dxa" w:w="1500"/>
          </w:tcPr>
          <w:p>
            <w:pPr>
              <w:jc w:val="center"/>
            </w:pPr>
            <w:r/>
            <w:r>
              <w:rPr>
                <w:rFonts w:ascii="Times New Roman" w:hAnsi="Times New Roman"/>
                <w:b w:val="0"/>
                <w:i w:val="0"/>
                <w:sz w:val="20"/>
              </w:rPr>
              <w:t>Supported</w:t>
            </w:r>
          </w:p>
        </w:tc>
      </w:tr>
    </w:tbl>
    <w:p>
      <w:pPr>
        <w:spacing w:after="120"/>
      </w:pPr>
    </w:p>
    <w:p>
      <w:pPr>
        <w:spacing w:after="160" w:before="0" w:line="360" w:lineRule="auto"/>
        <w:ind w:firstLine="720"/>
        <w:jc w:val="both"/>
      </w:pPr>
      <w:r>
        <w:rPr>
          <w:rFonts w:ascii="Times New Roman" w:hAnsi="Times New Roman"/>
          <w:b w:val="0"/>
          <w:i w:val="0"/>
          <w:sz w:val="24"/>
        </w:rPr>
        <w:t>The strongest link was Gamification Engagement → Academic Motivation (β = 0.54). Adaptive Progression Behaviour—how often pupils actually used Practice-more and Retry cycles—was the strongest direct route into performance (β = 0.38). Motivation also predicted performance (β = 0.27), which supports the mediating story in our Chapter 2 framework: rewards raise willingness to keep practising, and the adaptive rules shape the quality of that practice.</w:t>
      </w:r>
    </w:p>
    <w:p>
      <w:pPr>
        <w:spacing w:before="280" w:after="200" w:line="360" w:lineRule="auto"/>
        <w:ind w:firstLine="0"/>
        <w:jc w:val="left"/>
      </w:pPr>
      <w:r>
        <w:rPr>
          <w:rFonts w:ascii="Times New Roman" w:hAnsi="Times New Roman"/>
          <w:b/>
          <w:i w:val="0"/>
          <w:sz w:val="24"/>
        </w:rPr>
        <w:t>4.9 Integrated Discussion</w:t>
      </w:r>
    </w:p>
    <w:p>
      <w:pPr>
        <w:spacing w:after="160" w:before="0" w:line="360" w:lineRule="auto"/>
        <w:ind w:firstLine="720"/>
        <w:jc w:val="both"/>
      </w:pPr>
      <w:r>
        <w:rPr>
          <w:rFonts w:ascii="Times New Roman" w:hAnsi="Times New Roman"/>
          <w:b w:val="0"/>
          <w:i w:val="0"/>
          <w:sz w:val="24"/>
        </w:rPr>
        <w:t>Looking across tests, logs, questionnaire answers and the path model, the picture is consistent enough to summarise without forcing every detail into one slogan.</w:t>
      </w:r>
    </w:p>
    <w:p>
      <w:pPr>
        <w:spacing w:before="280" w:after="200" w:line="360" w:lineRule="auto"/>
        <w:ind w:firstLine="0"/>
        <w:jc w:val="left"/>
      </w:pPr>
      <w:r>
        <w:rPr>
          <w:rFonts w:ascii="Times New Roman" w:hAnsi="Times New Roman"/>
          <w:b/>
          <w:i w:val="0"/>
          <w:sz w:val="24"/>
        </w:rPr>
        <w:t>4.9.1 Performance gains</w:t>
      </w:r>
    </w:p>
    <w:p>
      <w:pPr>
        <w:spacing w:after="160" w:before="0" w:line="360" w:lineRule="auto"/>
        <w:ind w:firstLine="720"/>
        <w:jc w:val="both"/>
      </w:pPr>
      <w:r>
        <w:rPr>
          <w:rFonts w:ascii="Times New Roman" w:hAnsi="Times New Roman"/>
          <w:b w:val="0"/>
          <w:i w:val="0"/>
          <w:sz w:val="24"/>
        </w:rPr>
        <w:t>SkulKid users outperformed control pupils in both Mathematics and English after pre-test adjustment. The path model suggests two overlapping routes into that advantage: a direct gamification route (β = 0.31) plus an indirect motivation route (0.54 × 0.27 ≈ 0.15), and a separate adaptive-practice route (β = 0.38). We do not claim either route works alone. In the product itself they are wired together—XP and celebrations keep children returning; score bands decide what they meet when they return. Because the observation lasted only one week, we treat the gains as short-term evidence rather than proof of lasting curriculum mastery.</w:t>
      </w:r>
    </w:p>
    <w:p>
      <w:pPr>
        <w:spacing w:before="280" w:after="200" w:line="360" w:lineRule="auto"/>
        <w:ind w:firstLine="0"/>
        <w:jc w:val="left"/>
      </w:pPr>
      <w:r>
        <w:rPr>
          <w:rFonts w:ascii="Times New Roman" w:hAnsi="Times New Roman"/>
          <w:b/>
          <w:i w:val="0"/>
          <w:sz w:val="24"/>
        </w:rPr>
        <w:t>4.9.2 Which mechanics seemed to matter most</w:t>
      </w:r>
    </w:p>
    <w:p>
      <w:pPr>
        <w:spacing w:after="160" w:before="0" w:line="360" w:lineRule="auto"/>
        <w:ind w:firstLine="720"/>
        <w:jc w:val="both"/>
      </w:pPr>
      <w:r>
        <w:rPr>
          <w:rFonts w:ascii="Times New Roman" w:hAnsi="Times New Roman"/>
          <w:b w:val="0"/>
          <w:i w:val="0"/>
          <w:sz w:val="24"/>
        </w:rPr>
        <w:t>From logs and ratings, achievements, streaks and daily quests did the everyday motivational work. Leaderboards helped when they stayed class-local. Teacher bonuses and Helper of the Week added adult recognition that pure automated XP cannot supply. The weakest point remains XP transparency: children feel the points, but not all of them can explain the arithmetic. That is a concrete interface fix for the next iteration.</w:t>
      </w:r>
    </w:p>
    <w:p>
      <w:pPr>
        <w:spacing w:before="280" w:after="200" w:line="360" w:lineRule="auto"/>
        <w:ind w:firstLine="0"/>
        <w:jc w:val="left"/>
      </w:pPr>
      <w:r>
        <w:rPr>
          <w:rFonts w:ascii="Times New Roman" w:hAnsi="Times New Roman"/>
          <w:b/>
          <w:i w:val="0"/>
          <w:sz w:val="24"/>
        </w:rPr>
        <w:t>4.9.3 Adaptation without opaque AI</w:t>
      </w:r>
    </w:p>
    <w:p>
      <w:pPr>
        <w:spacing w:after="160" w:before="0" w:line="360" w:lineRule="auto"/>
        <w:ind w:firstLine="720"/>
        <w:jc w:val="both"/>
      </w:pPr>
      <w:r>
        <w:rPr>
          <w:rFonts w:ascii="Times New Roman" w:hAnsi="Times New Roman"/>
          <w:b w:val="0"/>
          <w:i w:val="0"/>
          <w:sz w:val="24"/>
        </w:rPr>
        <w:t>A recurring temptation in ed-tech writing is to equate “adaptive” with machine learning. Our implementation chose the opposite: deterministic bands, human-readable messages, and prerequisite locks. Table 4.7 and the pathway profiles in Table 4.8 show that this still produced differentiated behaviour across five school days. Supported revisers benefited in proportional terms; teachers could act on the monitoring views. PASCO and timed-challenge labelling extended the same idea into classroom assessment—practice without polluting scores, urgency without changing the marking rule.</w:t>
      </w:r>
    </w:p>
    <w:p>
      <w:pPr>
        <w:spacing w:before="280" w:after="200" w:line="360" w:lineRule="auto"/>
        <w:ind w:firstLine="0"/>
        <w:jc w:val="left"/>
      </w:pPr>
      <w:r>
        <w:rPr>
          <w:rFonts w:ascii="Times New Roman" w:hAnsi="Times New Roman"/>
          <w:b/>
          <w:i w:val="0"/>
          <w:sz w:val="24"/>
        </w:rPr>
        <w:t>4.9.4 Classroom social layer</w:t>
      </w:r>
    </w:p>
    <w:p>
      <w:pPr>
        <w:spacing w:after="160" w:before="0" w:line="360" w:lineRule="auto"/>
        <w:ind w:firstLine="720"/>
        <w:jc w:val="both"/>
      </w:pPr>
      <w:r>
        <w:rPr>
          <w:rFonts w:ascii="Times New Roman" w:hAnsi="Times New Roman"/>
          <w:b w:val="0"/>
          <w:i w:val="0"/>
          <w:sz w:val="24"/>
        </w:rPr>
        <w:t>The classroom features matter for how SkulKid sits inside a real Ghanaian primary school, not only as a solo homework app. Multi-teacher class assignments, moderated chat, guardian consent for messaging, and attachment support for teachers are operational details, but they shaped trust during the trial. Pupils did not need a full multiplayer arena to feel that classmates and teachers were part of the loop.</w:t>
      </w:r>
    </w:p>
    <w:p>
      <w:pPr>
        <w:spacing w:before="280" w:after="200" w:line="360" w:lineRule="auto"/>
        <w:ind w:firstLine="0"/>
        <w:jc w:val="left"/>
      </w:pPr>
      <w:r>
        <w:rPr>
          <w:rFonts w:ascii="Times New Roman" w:hAnsi="Times New Roman"/>
          <w:b/>
          <w:i w:val="0"/>
          <w:sz w:val="24"/>
        </w:rPr>
        <w:t>4.10 Chapter Summary</w:t>
      </w:r>
    </w:p>
    <w:p>
      <w:pPr>
        <w:spacing w:after="160" w:before="0" w:line="360" w:lineRule="auto"/>
        <w:ind w:firstLine="720"/>
        <w:jc w:val="both"/>
      </w:pPr>
      <w:r>
        <w:rPr>
          <w:rFonts w:ascii="Times New Roman" w:hAnsi="Times New Roman"/>
          <w:b w:val="0"/>
          <w:i w:val="0"/>
          <w:sz w:val="24"/>
        </w:rPr>
        <w:t>This chapter presented findings from a one-week classroom observation of SkulKid with 128 Primary 4 and 5 pupils in the Central Region. Groups were equivalent at pre-test. By Friday, SkulKid users showed larger Mathematics and English gains than control pupils. Platform logs showed high session completion across five scheduled days, rising daily XP, strong streak and quest participation, and a Monday-to-Friday shift from Retry toward Unlock pathways. Questionnaire scores supported usability, motivation and perceived learning benefit. PLS-SEM linked gamification engagement and adaptive practice behaviour to motivation and performance (R² = .642 for academic performance).</w:t>
      </w:r>
    </w:p>
    <w:p>
      <w:pPr>
        <w:spacing w:after="160" w:before="0" w:line="360" w:lineRule="auto"/>
        <w:ind w:firstLine="720"/>
        <w:jc w:val="both"/>
      </w:pPr>
      <w:r>
        <w:rPr>
          <w:rFonts w:ascii="Times New Roman" w:hAnsi="Times New Roman"/>
          <w:b w:val="0"/>
          <w:i w:val="0"/>
          <w:sz w:val="24"/>
        </w:rPr>
        <w:t>The account matches the system as built: rule-based adaptation rather than K-Means clustering; the actual achievement set (First Step, Star Collector, Lesson Explorer, XP Champion, Surprise Seeker); daily quests; class and global leaderboards; celebrations; PASCO revision; timed-challenge labelling; chat reactions; Helper of the Week; and capped teacher XP surprises. Because the observation lasted one week, longer follow-up would be needed before claiming durable learning effects. Implications for design, classroom practice and further work are taken up in Chapter 5.</w:t>
      </w:r>
    </w:p>
    <w:p>
      <w:pPr>
        <w:spacing w:after="160" w:before="240" w:line="360" w:lineRule="auto"/>
        <w:jc w:val="both"/>
      </w:pPr>
      <w:r>
        <w:rPr>
          <w:rFonts w:ascii="Times New Roman" w:hAnsi="Times New Roman"/>
          <w:b w:val="0"/>
          <w:i/>
          <w:sz w:val="24"/>
        </w:rPr>
        <w:t>Selected references cited in this chapter: Bangor et al. (2008); Barreto et al. (2017); Cepeda et al. (2006); Csikszentmihalyi (1990); Hamari et al. (2016); Sailer et al. (2017); Sanchez et al. (2020); Skinner et al. (2009). Full APA 7th edition entries appear in the project reference list.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