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340c665f264e35" /><Relationship Type="http://schemas.openxmlformats.org/package/2006/relationships/metadata/core-properties" Target="/docProps/core.xml" Id="Rb46c72ee654a4907" /><Relationship Type="http://schemas.openxmlformats.org/officeDocument/2006/relationships/extended-properties" Target="/docProps/app.xml" Id="Rc07213f3090940d7" /><Relationship Type="http://schemas.openxmlformats.org/officeDocument/2006/relationships/custom-properties" Target="/docProps/custom.xml" Id="R00324c0f99ee45fa" /></Relationships>
</file>

<file path=word/document.xml><?xml version="1.0" encoding="utf-8"?>
<w:document xmlns:c="http://schemas.openxmlformats.org/drawingml/2006/chart"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20"/>
      </w:pPr>
      <w:r>
        <w:rPr/>
        <w:t xml:space="preserve"/>
      </w:r>
    </w:p>
    <w:p w14:paraId="00100002" w14:textId="00100003">
      <w:pPr>
        <w:spacing w:after="120"/>
      </w:pPr>
      <w:r>
        <w:rPr/>
        <w:t xml:space="preserve"/>
      </w:r>
    </w:p>
    <w:p w14:paraId="00100004" w14:textId="00100005">
      <w:pPr>
        <w:spacing w:after="120"/>
      </w:pPr>
      <w:r>
        <w:rPr/>
        <w:t xml:space="preserve"/>
      </w:r>
    </w:p>
    <w:p w14:paraId="00100006" w14:textId="00100007">
      <w:pPr>
        <w:spacing w:after="120"/>
      </w:pPr>
      <w:r>
        <w:rPr/>
        <w:t xml:space="preserve"/>
      </w:r>
    </w:p>
    <w:p w14:paraId="00100008" w14:textId="00100009">
      <w:pPr>
        <w:spacing w:after="160"/>
        <w:jc w:val="center"/>
      </w:pPr>
      <w:r>
        <w:rPr>
          <w:b/>
          <w:color w:val="1F4E79"/>
          <w:sz w:val="56"/>
        </w:rPr>
        <w:t xml:space="preserve">星河科技</w:t>
      </w:r>
    </w:p>
    <w:p w14:paraId="0010000A" w14:textId="0010000B">
      <w:pPr>
        <w:spacing w:before="240" w:after="360"/>
        <w:jc w:val="center"/>
      </w:pPr>
      <w:r>
        <w:rPr>
          <w:b/>
          <w:color w:val="1F4E79"/>
          <w:sz w:val="72"/>
        </w:rPr>
        <w:t xml:space="preserve">2026年第二季度销售分析报告</w:t>
      </w:r>
    </w:p>
    <w:p w14:paraId="0010000C" w14:textId="0010000E">
      <w:pPr>
        <w:pBdr>
          <w:bottom w:val="single" w:color="C00000" w:sz="12"/>
        </w:pBdr>
        <w:spacing w:after="480"/>
      </w:pPr>
      <w:r>
        <w:rPr/>
        <w:t xml:space="preserve"/>
      </w:r>
    </w:p>
    <w:p w14:paraId="0010000F" w14:textId="00100010">
      <w:pPr>
        <w:spacing w:after="1200"/>
        <w:jc w:val="center"/>
      </w:pPr>
      <w:r>
        <w:rPr>
          <w:color w:val="808080"/>
          <w:sz w:val="32"/>
        </w:rPr>
        <w:t xml:space="preserve">Q2 Sales Analysis Report</w:t>
      </w:r>
    </w:p>
    <w:p w14:paraId="00100011" w14:textId="00100012">
      <w:pPr>
        <w:spacing w:after="120"/>
      </w:pPr>
      <w:r>
        <w:rPr/>
        <w:t xml:space="preserve"/>
      </w:r>
    </w:p>
    <w:p w14:paraId="00100013" w14:textId="00100014">
      <w:pPr>
        <w:spacing w:after="120"/>
      </w:pPr>
      <w:r>
        <w:rPr/>
        <w:t xml:space="preserve"/>
      </w:r>
    </w:p>
    <w:p w14:paraId="00100015" w14:textId="00100016">
      <w:pPr>
        <w:spacing w:after="120"/>
      </w:pPr>
      <w:r>
        <w:rPr/>
        <w:t xml:space="preserve"/>
      </w:r>
    </w:p>
    <w:p w14:paraId="00100017" w14:textId="00100018">
      <w:pPr>
        <w:spacing w:after="120"/>
      </w:pPr>
      <w:r>
        <w:rPr/>
        <w:t xml:space="preserve"/>
      </w:r>
    </w:p>
    <w:p w14:paraId="00100019" w14:textId="0010001A">
      <w:pPr>
        <w:spacing w:after="120"/>
      </w:pPr>
      <w:r>
        <w:rPr/>
        <w:t xml:space="preserve"/>
      </w:r>
    </w:p>
    <w:p w14:paraId="0010001B" w14:textId="0010001C">
      <w:pPr>
        <w:spacing w:after="120"/>
      </w:pPr>
      <w:r>
        <w:rPr/>
        <w:t xml:space="preserve"/>
      </w:r>
    </w:p>
    <w:p w14:paraId="0010001D" w14:textId="0010001E">
      <w:pPr>
        <w:spacing w:after="200"/>
        <w:jc w:val="center"/>
      </w:pPr>
      <w:r>
        <w:rPr>
          <w:b/>
          <w:color w:val="1F4E79"/>
          <w:sz w:val="40"/>
        </w:rPr>
        <w:t xml:space="preserve">星河科技销售部</w:t>
      </w:r>
    </w:p>
    <w:p w14:paraId="0010001F" w14:textId="00100020">
      <w:pPr>
        <w:spacing w:after="120"/>
        <w:jc w:val="center"/>
      </w:pPr>
      <w:r>
        <w:rPr>
          <w:color w:val="404040"/>
          <w:sz w:val="28"/>
        </w:rPr>
        <w:t xml:space="preserve">报告日期：2026年7月29日</w:t>
      </w:r>
    </w:p>
    <w:p w14:paraId="00100021" w14:textId="00100022">
      <w:pPr>
        <w:spacing w:after="120"/>
        <w:jc w:val="center"/>
      </w:pPr>
      <w:r>
        <w:rPr>
          <w:color w:val="404040"/>
          <w:sz w:val="28"/>
        </w:rPr>
        <w:t xml:space="preserve">数据周期：2026年4月1日 — 6月30日</w:t>
      </w:r>
    </w:p>
    <w:p w14:paraId="00100025" w14:textId="00100027">
      <w:pPr/>
      <w:r>
        <w:rPr/>
        <w:t xml:space="preserve"/>
      </w:r>
      <w:r>
        <w:br w:type="page"/>
      </w:r>
    </w:p>
    <w:p w14:paraId="00100028" w14:textId="00100029">
      <w:pPr>
        <w:spacing w:after="320"/>
        <w:jc w:val="center"/>
      </w:pPr>
      <w:r>
        <w:rPr>
          <w:b/>
          <w:color w:val="1F4E79"/>
          <w:sz w:val="44"/>
        </w:rPr>
        <w:t xml:space="preserve">目　录</w:t>
      </w:r>
    </w:p>
    <w:p w14:paraId="0010002A" w14:textId="0010002B">
      <w:r>
        <w:fldChar w:fldCharType="begin"/>
      </w:r>
      <w:r>
        <w:instrText xml:space="preserve"> TOC \o "3"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2C" w14:textId="0010002E">
      <w:pPr/>
      <w:r>
        <w:rPr/>
        <w:t xml:space="preserve"/>
      </w:r>
      <w:r>
        <w:br w:type="page"/>
      </w:r>
    </w:p>
    <w:p w14:paraId="0010002F" w14:textId="00100030">
      <w:pPr>
        <w:pStyle w:val="Heading1"/>
        <w:spacing w:before="120" w:after="240"/>
      </w:pPr>
      <w:r>
        <w:rPr>
          <w:b/>
          <w:color w:val="1F4E79"/>
          <w:sz w:val="40"/>
        </w:rPr>
        <w:t xml:space="preserve">一、业绩总览</w:t>
      </w:r>
    </w:p>
    <w:p w14:paraId="00100031" w14:textId="00100032">
      <w:pPr>
        <w:spacing w:after="200" w:line="360" w:lineRule="auto"/>
      </w:pPr>
      <w:r>
        <w:rPr>
          <w:sz w:val="22"/>
        </w:rPr>
        <w:t xml:space="preserve">2026年第二季度（4月1日至6月30日），星河科技销售部实现总销售额 415,918 元，累计成交订单 180 笔，客单价约 2,311 元，商品销售总量 282 件。整体业绩呈现逐月稳步增长态势，季度末月（6月）表现最为强劲。</w:t>
      </w:r>
    </w:p>
    <w:p w14:paraId="00100033" w14:textId="00100034">
      <w:pPr>
        <w:pStyle w:val="Heading2"/>
        <w:spacing w:before="200" w:after="160"/>
      </w:pPr>
      <w:r>
        <w:rPr>
          <w:b/>
          <w:color w:val="1F4E79"/>
          <w:sz w:val="28"/>
        </w:rPr>
        <w:t xml:space="preserve">1.1 核心指标</w:t>
      </w:r>
    </w:p>
    <w:tbl>
      <w:tblPr>
        <w:tblW w:w="4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35" w14:textId="00100049">
            <w:r>
              <w:rPr>
                <w:b/>
                <w:color w:val="FFFFFF"/>
              </w:rPr>
              <w:t xml:space="preserve">核心指标</w:t>
            </w:r>
          </w:p>
        </w:tc>
        <w:tc>
          <w:tcPr>
            <w:shd w:val="clear" w:fill="1F4E79"/>
          </w:tcPr>
          <w:p w14:paraId="00100037" w14:textId="0010004A">
            <w:r>
              <w:rPr>
                <w:b/>
                <w:color w:val="FFFFFF"/>
              </w:rPr>
              <w:t xml:space="preserve">Q2 数值</w:t>
            </w:r>
          </w:p>
        </w:tc>
      </w:tr>
      <w:tr>
        <w:trPr/>
        <w:tc>
          <w:p w14:paraId="00100039" w14:textId="0010003A">
            <w:r>
              <w:t xml:space="preserve">季度总销售额</w:t>
            </w:r>
          </w:p>
        </w:tc>
        <w:tc>
          <w:p w14:paraId="0010003B" w14:textId="0010003C">
            <w:r>
              <w:t xml:space="preserve">415,918 元</w:t>
            </w:r>
          </w:p>
        </w:tc>
      </w:tr>
      <w:tr>
        <w:trPr/>
        <w:tc>
          <w:p w14:paraId="0010003D" w14:textId="0010003E">
            <w:r>
              <w:t xml:space="preserve">总订单数</w:t>
            </w:r>
          </w:p>
        </w:tc>
        <w:tc>
          <w:p w14:paraId="0010003F" w14:textId="00100040">
            <w:r>
              <w:t xml:space="preserve">180 笔</w:t>
            </w:r>
          </w:p>
        </w:tc>
      </w:tr>
      <w:tr>
        <w:trPr/>
        <w:tc>
          <w:p w14:paraId="00100041" w14:textId="00100042">
            <w:r>
              <w:t xml:space="preserve">客单价</w:t>
            </w:r>
          </w:p>
        </w:tc>
        <w:tc>
          <w:p w14:paraId="00100043" w14:textId="00100044">
            <w:r>
              <w:t xml:space="preserve">2,311 元</w:t>
            </w:r>
          </w:p>
        </w:tc>
      </w:tr>
      <w:tr>
        <w:trPr/>
        <w:tc>
          <w:p w14:paraId="00100045" w14:textId="00100046">
            <w:r>
              <w:t xml:space="preserve">销售总量</w:t>
            </w:r>
          </w:p>
        </w:tc>
        <w:tc>
          <w:p w14:paraId="00100047" w14:textId="00100048">
            <w:r>
              <w:t xml:space="preserve">282 件</w:t>
            </w:r>
          </w:p>
        </w:tc>
      </w:tr>
    </w:tbl>
    <w:p w14:paraId="0010004B" w14:textId="0010004C">
      <w:pPr>
        <w:spacing w:after="80"/>
      </w:pPr>
      <w:r>
        <w:rPr/>
        <w:t xml:space="preserve"/>
      </w:r>
    </w:p>
    <w:p w14:paraId="0010004D" w14:textId="0010004E">
      <w:pPr>
        <w:pStyle w:val="Heading2"/>
      </w:pPr>
      <w:r>
        <w:rPr/>
        <w:t xml:space="preserve">1.2 月度销售趋势</w:t>
      </w:r>
    </w:p>
    <w:p w14:paraId="0010004F" w14:textId="00100050">
      <w:pPr>
        <w:spacing w:after="200" w:line="360" w:lineRule="auto"/>
      </w:pPr>
      <w:r>
        <w:rPr>
          <w:sz w:val="22"/>
        </w:rPr>
        <w:t xml:space="preserve">Q2 各月销售额持续攀升：4月 126,619 元，5月 136,305 元（环比 +7.6%），6月 152,994 元（环比 +12.2%）。季度内销售额累计增长 20.8%，反映需求端稳步向好、季末冲量效果显著。</w:t>
      </w:r>
    </w:p>
    <w:p w14:paraId="00100051" w14:textId="00100052">
      <w:pPr>
        <w:jc w:val="center"/>
      </w:pPr>
      <w:r>
        <w:rPr/>
        <w:t xml:space="preserve"/>
      </w:r>
      <w:r>
        <w:drawing>
          <wp:inline distT="0" distB="0" distL="0" distR="0">
            <wp:extent cx="5400000" cy="2880000"/>
            <wp:effectExtent l="0" t="0" r="0" b="0"/>
            <wp:docPr id="1" name="Q2 月度销售额趋势（元）"/>
            <wp:cNvGraphicFramePr/>
            <a:graphic>
              <a:graphicData uri="http://schemas.openxmlformats.org/drawingml/2006/chart">
                <c:chart xmlns:c="http://schemas.openxmlformats.org/drawingml/2006/chart" r:id="R3377217708694851"/>
              </a:graphicData>
            </a:graphic>
          </wp:inline>
        </w:drawing>
      </w:r>
    </w:p>
    <w:p w14:paraId="00100053" w14:textId="00100054">
      <w:pPr>
        <w:spacing w:after="240"/>
        <w:jc w:val="center"/>
      </w:pPr>
      <w:r>
        <w:rPr>
          <w:i/>
          <w:color w:val="808080"/>
          <w:sz w:val="18"/>
        </w:rPr>
        <w:t xml:space="preserve">图1　Q2 各月销售额趋势（数据来源：销售流水汇总表）</w:t>
      </w:r>
    </w:p>
    <w:p w14:paraId="00100055" w14:textId="00100056">
      <w:pPr>
        <w:pStyle w:val="Heading1"/>
      </w:pPr>
      <w:r>
        <w:rPr/>
        <w:t xml:space="preserve">二、分城市分析</w:t>
      </w:r>
    </w:p>
    <w:p w14:paraId="00100057" w14:textId="00100058">
      <w:pPr>
        <w:spacing w:after="200" w:line="360" w:lineRule="auto"/>
      </w:pPr>
      <w:r>
        <w:rPr>
          <w:sz w:val="22"/>
        </w:rPr>
        <w:t xml:space="preserve">Q2 六大重点城市合计贡献销售额 415,918 元。其中深圳以 86,542 元位居首位，占季度总额的 20.8%；上海（74,257 元）、杭州（72,348 元）、成都（70,054 元）紧随其后，构成第二梯队；北京（62,653 元）、广州（50,064 元）相对靠后，广州仅为深圳的 57.8%，存在明显增长空间。</w:t>
      </w:r>
    </w:p>
    <w:p w14:paraId="00100059" w14:textId="0010005A">
      <w:pPr>
        <w:pStyle w:val="Heading2"/>
      </w:pPr>
      <w:r>
        <w:rPr/>
        <w:t xml:space="preserve">2.1 各城市业绩明细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05B" w14:textId="001000A1">
            <w:r>
              <w:rPr>
                <w:b/>
                <w:color w:val="FFFFFF"/>
              </w:rPr>
              <w:t xml:space="preserve">城市</w:t>
            </w:r>
          </w:p>
        </w:tc>
        <w:tc>
          <w:tcPr>
            <w:shd w:val="clear" w:fill="1F4E79"/>
          </w:tcPr>
          <w:p w14:paraId="0010005D" w14:textId="001000A2">
            <w:r>
              <w:rPr>
                <w:b/>
                <w:color w:val="FFFFFF"/>
              </w:rPr>
              <w:t xml:space="preserve">销售额（元）</w:t>
            </w:r>
          </w:p>
        </w:tc>
        <w:tc>
          <w:tcPr>
            <w:shd w:val="clear" w:fill="1F4E79"/>
          </w:tcPr>
          <w:p w14:paraId="0010005F" w14:textId="001000A3">
            <w:r>
              <w:rPr>
                <w:b/>
                <w:color w:val="FFFFFF"/>
              </w:rPr>
              <w:t xml:space="preserve">订单数</w:t>
            </w:r>
          </w:p>
        </w:tc>
        <w:tc>
          <w:tcPr>
            <w:shd w:val="clear" w:fill="1F4E79"/>
          </w:tcPr>
          <w:p w14:paraId="00100061" w14:textId="001000A4">
            <w:r>
              <w:rPr>
                <w:b/>
                <w:color w:val="FFFFFF"/>
              </w:rPr>
              <w:t xml:space="preserve">客单价（元）</w:t>
            </w:r>
          </w:p>
        </w:tc>
        <w:tc>
          <w:tcPr>
            <w:shd w:val="clear" w:fill="1F4E79"/>
          </w:tcPr>
          <w:p w14:paraId="00100063" w14:textId="001000A5">
            <w:r>
              <w:rPr>
                <w:b/>
                <w:color w:val="FFFFFF"/>
              </w:rPr>
              <w:t xml:space="preserve">占比</w:t>
            </w:r>
          </w:p>
        </w:tc>
      </w:tr>
      <w:tr>
        <w:trPr/>
        <w:tc>
          <w:p w14:paraId="00100065" w14:textId="00100066">
            <w:r>
              <w:t xml:space="preserve">深圳</w:t>
            </w:r>
          </w:p>
        </w:tc>
        <w:tc>
          <w:p w14:paraId="00100067" w14:textId="00100068">
            <w:r>
              <w:t xml:space="preserve">86,542</w:t>
            </w:r>
          </w:p>
        </w:tc>
        <w:tc>
          <w:p w14:paraId="00100069" w14:textId="0010006A">
            <w:r>
              <w:t xml:space="preserve">35</w:t>
            </w:r>
          </w:p>
        </w:tc>
        <w:tc>
          <w:p w14:paraId="0010006B" w14:textId="0010006C">
            <w:r>
              <w:t xml:space="preserve">2,473</w:t>
            </w:r>
          </w:p>
        </w:tc>
        <w:tc>
          <w:p w14:paraId="0010006D" w14:textId="0010006E">
            <w:r>
              <w:t xml:space="preserve">20.8%</w:t>
            </w:r>
          </w:p>
        </w:tc>
      </w:tr>
      <w:tr>
        <w:trPr/>
        <w:tc>
          <w:p w14:paraId="0010006F" w14:textId="00100070">
            <w:r>
              <w:t xml:space="preserve">上海</w:t>
            </w:r>
          </w:p>
        </w:tc>
        <w:tc>
          <w:p w14:paraId="00100071" w14:textId="00100072">
            <w:r>
              <w:t xml:space="preserve">74,257</w:t>
            </w:r>
          </w:p>
        </w:tc>
        <w:tc>
          <w:p w14:paraId="00100073" w14:textId="00100074">
            <w:r>
              <w:t xml:space="preserve">28</w:t>
            </w:r>
          </w:p>
        </w:tc>
        <w:tc>
          <w:p w14:paraId="00100075" w14:textId="00100076">
            <w:r>
              <w:t xml:space="preserve">2,652</w:t>
            </w:r>
          </w:p>
        </w:tc>
        <w:tc>
          <w:p w14:paraId="00100077" w14:textId="00100078">
            <w:r>
              <w:t xml:space="preserve">17.9%</w:t>
            </w:r>
          </w:p>
        </w:tc>
      </w:tr>
      <w:tr>
        <w:trPr/>
        <w:tc>
          <w:p w14:paraId="00100079" w14:textId="0010007A">
            <w:r>
              <w:t xml:space="preserve">杭州</w:t>
            </w:r>
          </w:p>
        </w:tc>
        <w:tc>
          <w:p w14:paraId="0010007B" w14:textId="0010007C">
            <w:r>
              <w:t xml:space="preserve">72,348</w:t>
            </w:r>
          </w:p>
        </w:tc>
        <w:tc>
          <w:p w14:paraId="0010007D" w14:textId="0010007E">
            <w:r>
              <w:t xml:space="preserve">32</w:t>
            </w:r>
          </w:p>
        </w:tc>
        <w:tc>
          <w:p w14:paraId="0010007F" w14:textId="00100080">
            <w:r>
              <w:t xml:space="preserve">2,261</w:t>
            </w:r>
          </w:p>
        </w:tc>
        <w:tc>
          <w:p w14:paraId="00100081" w14:textId="00100082">
            <w:r>
              <w:t xml:space="preserve">17.4%</w:t>
            </w:r>
          </w:p>
        </w:tc>
      </w:tr>
      <w:tr>
        <w:trPr/>
        <w:tc>
          <w:p w14:paraId="00100083" w14:textId="00100084">
            <w:r>
              <w:t xml:space="preserve">成都</w:t>
            </w:r>
          </w:p>
        </w:tc>
        <w:tc>
          <w:p w14:paraId="00100085" w14:textId="00100086">
            <w:r>
              <w:t xml:space="preserve">70,054</w:t>
            </w:r>
          </w:p>
        </w:tc>
        <w:tc>
          <w:p w14:paraId="00100087" w14:textId="00100088">
            <w:r>
              <w:t xml:space="preserve">34</w:t>
            </w:r>
          </w:p>
        </w:tc>
        <w:tc>
          <w:p w14:paraId="00100089" w14:textId="0010008A">
            <w:r>
              <w:t xml:space="preserve">2,060</w:t>
            </w:r>
          </w:p>
        </w:tc>
        <w:tc>
          <w:p w14:paraId="0010008B" w14:textId="0010008C">
            <w:r>
              <w:t xml:space="preserve">16.8%</w:t>
            </w:r>
          </w:p>
        </w:tc>
      </w:tr>
      <w:tr>
        <w:trPr/>
        <w:tc>
          <w:p w14:paraId="0010008D" w14:textId="0010008E">
            <w:r>
              <w:t xml:space="preserve">北京</w:t>
            </w:r>
          </w:p>
        </w:tc>
        <w:tc>
          <w:p w14:paraId="0010008F" w14:textId="00100090">
            <w:r>
              <w:t xml:space="preserve">62,653</w:t>
            </w:r>
          </w:p>
        </w:tc>
        <w:tc>
          <w:p w14:paraId="00100091" w14:textId="00100092">
            <w:r>
              <w:t xml:space="preserve">26</w:t>
            </w:r>
          </w:p>
        </w:tc>
        <w:tc>
          <w:p w14:paraId="00100093" w14:textId="00100094">
            <w:r>
              <w:t xml:space="preserve">2,410</w:t>
            </w:r>
          </w:p>
        </w:tc>
        <w:tc>
          <w:p w14:paraId="00100095" w14:textId="00100096">
            <w:r>
              <w:t xml:space="preserve">15.1%</w:t>
            </w:r>
          </w:p>
        </w:tc>
      </w:tr>
      <w:tr>
        <w:trPr/>
        <w:tc>
          <w:p w14:paraId="00100097" w14:textId="00100098">
            <w:r>
              <w:t xml:space="preserve">广州</w:t>
            </w:r>
          </w:p>
        </w:tc>
        <w:tc>
          <w:p w14:paraId="00100099" w14:textId="0010009A">
            <w:r>
              <w:t xml:space="preserve">50,064</w:t>
            </w:r>
          </w:p>
        </w:tc>
        <w:tc>
          <w:p w14:paraId="0010009B" w14:textId="0010009C">
            <w:r>
              <w:t xml:space="preserve">25</w:t>
            </w:r>
          </w:p>
        </w:tc>
        <w:tc>
          <w:p w14:paraId="0010009D" w14:textId="0010009E">
            <w:r>
              <w:t xml:space="preserve">2,003</w:t>
            </w:r>
          </w:p>
        </w:tc>
        <w:tc>
          <w:p w14:paraId="0010009F" w14:textId="001000A0">
            <w:r>
              <w:t xml:space="preserve">12.0%</w:t>
            </w:r>
          </w:p>
        </w:tc>
      </w:tr>
    </w:tbl>
    <w:p w14:paraId="001000A6" w14:textId="001000A7">
      <w:pPr>
        <w:jc w:val="center"/>
      </w:pPr>
      <w:r>
        <w:rPr/>
        <w:t xml:space="preserve"/>
      </w:r>
      <w:r>
        <w:drawing>
          <wp:inline distT="0" distB="0" distL="0" distR="0">
            <wp:extent cx="5400000" cy="3240000"/>
            <wp:effectExtent l="0" t="0" r="0" b="0"/>
            <wp:docPr id="2" name="Q2 各城市销售额对比（元）"/>
            <wp:cNvGraphicFramePr/>
            <a:graphic>
              <a:graphicData uri="http://schemas.openxmlformats.org/drawingml/2006/chart">
                <c:chart xmlns:c="http://schemas.openxmlformats.org/drawingml/2006/chart" r:id="R37e8b5ed6c0e4610"/>
              </a:graphicData>
            </a:graphic>
          </wp:inline>
        </w:drawing>
      </w:r>
    </w:p>
    <w:p w14:paraId="001000A8" w14:textId="001000A9">
      <w:pPr>
        <w:spacing w:after="240"/>
        <w:jc w:val="center"/>
      </w:pPr>
      <w:r>
        <w:rPr>
          <w:i/>
          <w:color w:val="808080"/>
          <w:sz w:val="18"/>
        </w:rPr>
        <w:t xml:space="preserve">图2　Q2 各城市销售额对比（数据来源：数据透视表）</w:t>
      </w:r>
    </w:p>
    <w:p w14:paraId="001000AA" w14:textId="001000AB">
      <w:pPr>
        <w:pStyle w:val="Heading2"/>
      </w:pPr>
      <w:r>
        <w:rPr/>
        <w:t xml:space="preserve">2.2 城市结构洞察</w:t>
      </w:r>
    </w:p>
    <w:p w14:paraId="001000AC" w14:textId="001000AD">
      <w:pPr>
        <w:spacing w:after="200" w:line="360" w:lineRule="auto"/>
      </w:pPr>
      <w:r>
        <w:rPr>
          <w:sz w:val="22"/>
        </w:rPr>
        <w:t xml:space="preserve">从客单价看，上海（2,652 元）与深圳（2,473 元）显著高于均值 2,311 元，高价家居品类渗透良好；成都（2,060 元）、广州（2,003 元）客单价偏低，以中低价数码及家电为主。深圳销售额领先主要由家电品类拉动（32,776 元，远超其他城市），显示区域品类结构差异明显。</w:t>
      </w:r>
    </w:p>
    <w:p w14:paraId="001000AE" w14:textId="001000AF">
      <w:pPr>
        <w:pStyle w:val="Heading1"/>
      </w:pPr>
      <w:r>
        <w:rPr/>
        <w:t xml:space="preserve">三、分渠道分析</w:t>
      </w:r>
    </w:p>
    <w:p w14:paraId="001000B0" w14:textId="001000B1">
      <w:pPr>
        <w:spacing w:after="200" w:line="360" w:lineRule="auto"/>
      </w:pPr>
      <w:r>
        <w:rPr>
          <w:sz w:val="22"/>
        </w:rPr>
        <w:t xml:space="preserve">Q2 销售额按五大渠道分布相对均衡。天猫以 103,624 元（占比 24.9%）稳居第一渠道，线下门店（92,344 元，22.2%）紧随其后，二者合计贡献近半数销售额。官网（81,839 元，19.7%）、京东（70,956 元，17.1%）居中，抖音（67,155 元，16.1%）体量最小但具增长潜力。</w:t>
      </w:r>
    </w:p>
    <w:p w14:paraId="001000B2" w14:textId="001000B3">
      <w:pPr>
        <w:pStyle w:val="Heading2"/>
      </w:pPr>
      <w:r>
        <w:rPr/>
        <w:t xml:space="preserve">3.1 各渠道业绩明细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B4" w14:textId="001000E4">
            <w:r>
              <w:rPr>
                <w:b/>
                <w:color w:val="FFFFFF"/>
              </w:rPr>
              <w:t xml:space="preserve">销售渠道</w:t>
            </w:r>
          </w:p>
        </w:tc>
        <w:tc>
          <w:tcPr>
            <w:shd w:val="clear" w:fill="1F4E79"/>
          </w:tcPr>
          <w:p w14:paraId="001000B6" w14:textId="001000E5">
            <w:r>
              <w:rPr>
                <w:b/>
                <w:color w:val="FFFFFF"/>
              </w:rPr>
              <w:t xml:space="preserve">销售额（元）</w:t>
            </w:r>
          </w:p>
        </w:tc>
        <w:tc>
          <w:tcPr>
            <w:shd w:val="clear" w:fill="1F4E79"/>
          </w:tcPr>
          <w:p w14:paraId="001000B8" w14:textId="001000E6">
            <w:r>
              <w:rPr>
                <w:b/>
                <w:color w:val="FFFFFF"/>
              </w:rPr>
              <w:t xml:space="preserve">占比</w:t>
            </w:r>
          </w:p>
        </w:tc>
        <w:tc>
          <w:tcPr>
            <w:shd w:val="clear" w:fill="1F4E79"/>
          </w:tcPr>
          <w:p w14:paraId="001000BA" w14:textId="001000E7">
            <w:r>
              <w:rPr>
                <w:b/>
                <w:color w:val="FFFFFF"/>
              </w:rPr>
              <w:t xml:space="preserve">客单价（元）</w:t>
            </w:r>
          </w:p>
        </w:tc>
      </w:tr>
      <w:tr>
        <w:trPr/>
        <w:tc>
          <w:p w14:paraId="001000BC" w14:textId="001000BD">
            <w:r>
              <w:t xml:space="preserve">天猫</w:t>
            </w:r>
          </w:p>
        </w:tc>
        <w:tc>
          <w:p w14:paraId="001000BE" w14:textId="001000BF">
            <w:r>
              <w:t xml:space="preserve">103,624</w:t>
            </w:r>
          </w:p>
        </w:tc>
        <w:tc>
          <w:p w14:paraId="001000C0" w14:textId="001000C1">
            <w:r>
              <w:t xml:space="preserve">24.9%</w:t>
            </w:r>
          </w:p>
        </w:tc>
        <w:tc>
          <w:p w14:paraId="001000C2" w14:textId="001000C3">
            <w:r>
              <w:t xml:space="preserve">2,591</w:t>
            </w:r>
          </w:p>
        </w:tc>
      </w:tr>
      <w:tr>
        <w:trPr/>
        <w:tc>
          <w:p w14:paraId="001000C4" w14:textId="001000C5">
            <w:r>
              <w:t xml:space="preserve">线下门店</w:t>
            </w:r>
          </w:p>
        </w:tc>
        <w:tc>
          <w:p w14:paraId="001000C6" w14:textId="001000C7">
            <w:r>
              <w:t xml:space="preserve">92,344</w:t>
            </w:r>
          </w:p>
        </w:tc>
        <w:tc>
          <w:p w14:paraId="001000C8" w14:textId="001000C9">
            <w:r>
              <w:t xml:space="preserve">22.2%</w:t>
            </w:r>
          </w:p>
        </w:tc>
        <w:tc>
          <w:p w14:paraId="001000CA" w14:textId="001000CB">
            <w:r>
              <w:t xml:space="preserve">2,368</w:t>
            </w:r>
          </w:p>
        </w:tc>
      </w:tr>
      <w:tr>
        <w:trPr/>
        <w:tc>
          <w:p w14:paraId="001000CC" w14:textId="001000CD">
            <w:r>
              <w:t xml:space="preserve">官网</w:t>
            </w:r>
          </w:p>
        </w:tc>
        <w:tc>
          <w:p w14:paraId="001000CE" w14:textId="001000CF">
            <w:r>
              <w:t xml:space="preserve">81,839</w:t>
            </w:r>
          </w:p>
        </w:tc>
        <w:tc>
          <w:p w14:paraId="001000D0" w14:textId="001000D1">
            <w:r>
              <w:t xml:space="preserve">19.7%</w:t>
            </w:r>
          </w:p>
        </w:tc>
        <w:tc>
          <w:p w14:paraId="001000D2" w14:textId="001000D3">
            <w:r>
              <w:t xml:space="preserve">2,273</w:t>
            </w:r>
          </w:p>
        </w:tc>
      </w:tr>
      <w:tr>
        <w:trPr/>
        <w:tc>
          <w:p w14:paraId="001000D4" w14:textId="001000D5">
            <w:r>
              <w:t xml:space="preserve">京东</w:t>
            </w:r>
          </w:p>
        </w:tc>
        <w:tc>
          <w:p w14:paraId="001000D6" w14:textId="001000D7">
            <w:r>
              <w:t xml:space="preserve">70,956</w:t>
            </w:r>
          </w:p>
        </w:tc>
        <w:tc>
          <w:p w14:paraId="001000D8" w14:textId="001000D9">
            <w:r>
              <w:t xml:space="preserve">17.1%</w:t>
            </w:r>
          </w:p>
        </w:tc>
        <w:tc>
          <w:p w14:paraId="001000DA" w14:textId="001000DB">
            <w:r>
              <w:t xml:space="preserve">2,150</w:t>
            </w:r>
          </w:p>
        </w:tc>
      </w:tr>
      <w:tr>
        <w:trPr/>
        <w:tc>
          <w:p w14:paraId="001000DC" w14:textId="001000DD">
            <w:r>
              <w:t xml:space="preserve">抖音</w:t>
            </w:r>
          </w:p>
        </w:tc>
        <w:tc>
          <w:p w14:paraId="001000DE" w14:textId="001000DF">
            <w:r>
              <w:t xml:space="preserve">67,155</w:t>
            </w:r>
          </w:p>
        </w:tc>
        <w:tc>
          <w:p w14:paraId="001000E0" w14:textId="001000E1">
            <w:r>
              <w:t xml:space="preserve">16.1%</w:t>
            </w:r>
          </w:p>
        </w:tc>
        <w:tc>
          <w:p w14:paraId="001000E2" w14:textId="001000E3">
            <w:r>
              <w:t xml:space="preserve">2,099</w:t>
            </w:r>
          </w:p>
        </w:tc>
      </w:tr>
    </w:tbl>
    <w:p w14:paraId="001000E8" w14:textId="001000E9">
      <w:pPr>
        <w:jc w:val="center"/>
      </w:pPr>
      <w:r>
        <w:rPr/>
        <w:t xml:space="preserve"/>
      </w:r>
      <w:r>
        <w:drawing>
          <wp:inline distT="0" distB="0" distL="0" distR="0">
            <wp:extent cx="5040000" cy="3240000"/>
            <wp:effectExtent l="0" t="0" r="0" b="0"/>
            <wp:docPr id="3" name="Q2 各渠道销售额占比"/>
            <wp:cNvGraphicFramePr/>
            <a:graphic>
              <a:graphicData uri="http://schemas.openxmlformats.org/drawingml/2006/chart">
                <c:chart xmlns:c="http://schemas.openxmlformats.org/drawingml/2006/chart" r:id="R8f78055b97194445"/>
              </a:graphicData>
            </a:graphic>
          </wp:inline>
        </w:drawing>
      </w:r>
    </w:p>
    <w:p w14:paraId="001000EA" w14:textId="001000EB">
      <w:pPr>
        <w:spacing w:after="240"/>
        <w:jc w:val="center"/>
      </w:pPr>
      <w:r>
        <w:rPr>
          <w:i/>
          <w:color w:val="808080"/>
          <w:sz w:val="18"/>
        </w:rPr>
        <w:t xml:space="preserve">图3　Q2 各渠道销售额占比（数据来源：销售流水汇总表）</w:t>
      </w:r>
    </w:p>
    <w:p w14:paraId="001000EC" w14:textId="001000ED">
      <w:pPr>
        <w:pStyle w:val="Heading2"/>
      </w:pPr>
      <w:r>
        <w:rPr/>
        <w:t xml:space="preserve">3.2 渠道洞察</w:t>
      </w:r>
    </w:p>
    <w:p w14:paraId="001000EE" w14:textId="001000EF">
      <w:pPr>
        <w:spacing w:after="200" w:line="360" w:lineRule="auto"/>
      </w:pPr>
      <w:r>
        <w:rPr>
          <w:sz w:val="22"/>
        </w:rPr>
        <w:t xml:space="preserve">天猫渠道客单价最高（2,591 元），说明其平台用户对高价家居品类接受度强；抖音渠道客单价仅 2,099 元，以冲动型、低价数码消费为主。线上渠道（天猫、官网、京东、抖音）合计占比 77.8%，线下门店占比 22.2%，仍是不可忽视的成交场景，尤其在高客单价商品体验环节发挥价值。</w:t>
      </w:r>
    </w:p>
    <w:p w14:paraId="001000F0" w14:textId="001000F1">
      <w:pPr>
        <w:pStyle w:val="Heading1"/>
      </w:pPr>
      <w:r>
        <w:rPr/>
        <w:t xml:space="preserve">四、产品表现</w:t>
      </w:r>
    </w:p>
    <w:p w14:paraId="001000F2" w14:textId="001000F3">
      <w:pPr>
        <w:spacing w:after="200" w:line="360" w:lineRule="auto"/>
      </w:pPr>
      <w:r>
        <w:rPr>
          <w:sz w:val="22"/>
        </w:rPr>
        <w:t xml:space="preserve">从品类看，家居类以 235,185 元贡献全季 56.5% 的销售额，是绝对核心品类；家电类（92,227 元，22.2%）与数码类（88,506 元，21.3%）体量接近，共同构成第二支柱。单品层面，人体工学椅一枝独秀，实现销售额 165,213 元，占全季 39.7%，售出 87 件、成交 52 笔，为当之无愧的销量与销售额双料冠军。</w:t>
      </w:r>
    </w:p>
    <w:p w14:paraId="001000F4" w14:textId="001000F5">
      <w:pPr>
        <w:pStyle w:val="Heading2"/>
      </w:pPr>
      <w:r>
        <w:rPr/>
        <w:t xml:space="preserve">4.1 品类销售结构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F6" w14:textId="00100116">
            <w:r>
              <w:rPr>
                <w:b/>
                <w:color w:val="FFFFFF"/>
              </w:rPr>
              <w:t xml:space="preserve">品类</w:t>
            </w:r>
          </w:p>
        </w:tc>
        <w:tc>
          <w:tcPr>
            <w:shd w:val="clear" w:fill="1F4E79"/>
          </w:tcPr>
          <w:p w14:paraId="001000F8" w14:textId="00100117">
            <w:r>
              <w:rPr>
                <w:b/>
                <w:color w:val="FFFFFF"/>
              </w:rPr>
              <w:t xml:space="preserve">销售额（元）</w:t>
            </w:r>
          </w:p>
        </w:tc>
        <w:tc>
          <w:tcPr>
            <w:shd w:val="clear" w:fill="1F4E79"/>
          </w:tcPr>
          <w:p w14:paraId="001000FA" w14:textId="00100118">
            <w:r>
              <w:rPr>
                <w:b/>
                <w:color w:val="FFFFFF"/>
              </w:rPr>
              <w:t xml:space="preserve">占比</w:t>
            </w:r>
          </w:p>
        </w:tc>
        <w:tc>
          <w:tcPr>
            <w:shd w:val="clear" w:fill="1F4E79"/>
          </w:tcPr>
          <w:p w14:paraId="001000FC" w14:textId="00100119">
            <w:r>
              <w:rPr>
                <w:b/>
                <w:color w:val="FFFFFF"/>
              </w:rPr>
              <w:t xml:space="preserve">订单数</w:t>
            </w:r>
          </w:p>
        </w:tc>
      </w:tr>
      <w:tr>
        <w:trPr/>
        <w:tc>
          <w:p w14:paraId="001000FE" w14:textId="001000FF">
            <w:r>
              <w:t xml:space="preserve">家居</w:t>
            </w:r>
          </w:p>
        </w:tc>
        <w:tc>
          <w:p w14:paraId="00100100" w14:textId="00100101">
            <w:r>
              <w:t xml:space="preserve">235,185</w:t>
            </w:r>
          </w:p>
        </w:tc>
        <w:tc>
          <w:p w14:paraId="00100102" w14:textId="00100103">
            <w:r>
              <w:t xml:space="preserve">56.5%</w:t>
            </w:r>
          </w:p>
        </w:tc>
        <w:tc>
          <w:p w14:paraId="00100104" w14:textId="00100105">
            <w:r>
              <w:t xml:space="preserve">73</w:t>
            </w:r>
          </w:p>
        </w:tc>
      </w:tr>
      <w:tr>
        <w:trPr/>
        <w:tc>
          <w:p w14:paraId="00100106" w14:textId="00100107">
            <w:r>
              <w:t xml:space="preserve">家电</w:t>
            </w:r>
          </w:p>
        </w:tc>
        <w:tc>
          <w:p w14:paraId="00100108" w14:textId="00100109">
            <w:r>
              <w:t xml:space="preserve">92,227</w:t>
            </w:r>
          </w:p>
        </w:tc>
        <w:tc>
          <w:p w14:paraId="0010010A" w14:textId="0010010B">
            <w:r>
              <w:t xml:space="preserve">22.2%</w:t>
            </w:r>
          </w:p>
        </w:tc>
        <w:tc>
          <w:p w14:paraId="0010010C" w14:textId="0010010D">
            <w:r>
              <w:t xml:space="preserve">45</w:t>
            </w:r>
          </w:p>
        </w:tc>
      </w:tr>
      <w:tr>
        <w:trPr/>
        <w:tc>
          <w:p w14:paraId="0010010E" w14:textId="0010010F">
            <w:r>
              <w:t xml:space="preserve">数码</w:t>
            </w:r>
          </w:p>
        </w:tc>
        <w:tc>
          <w:p w14:paraId="00100110" w14:textId="00100111">
            <w:r>
              <w:t xml:space="preserve">88,506</w:t>
            </w:r>
          </w:p>
        </w:tc>
        <w:tc>
          <w:p w14:paraId="00100112" w14:textId="00100113">
            <w:r>
              <w:t xml:space="preserve">21.3%</w:t>
            </w:r>
          </w:p>
        </w:tc>
        <w:tc>
          <w:p w14:paraId="00100114" w14:textId="00100115">
            <w:r>
              <w:t xml:space="preserve">62</w:t>
            </w:r>
          </w:p>
        </w:tc>
      </w:tr>
    </w:tbl>
    <w:p w14:paraId="0010011A" w14:textId="0010011B">
      <w:pPr>
        <w:pStyle w:val="Heading2"/>
      </w:pPr>
      <w:r>
        <w:rPr/>
        <w:t xml:space="preserve">4.2 单品销售排行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11C" w14:textId="00100162">
            <w:r>
              <w:rPr>
                <w:b/>
                <w:color w:val="FFFFFF"/>
              </w:rPr>
              <w:t xml:space="preserve">产品名称</w:t>
            </w:r>
          </w:p>
        </w:tc>
        <w:tc>
          <w:tcPr>
            <w:shd w:val="clear" w:fill="1F4E79"/>
          </w:tcPr>
          <w:p w14:paraId="0010011E" w14:textId="00100163">
            <w:r>
              <w:rPr>
                <w:b/>
                <w:color w:val="FFFFFF"/>
              </w:rPr>
              <w:t xml:space="preserve">销售额（元）</w:t>
            </w:r>
          </w:p>
        </w:tc>
        <w:tc>
          <w:tcPr>
            <w:shd w:val="clear" w:fill="1F4E79"/>
          </w:tcPr>
          <w:p w14:paraId="00100120" w14:textId="00100164">
            <w:r>
              <w:rPr>
                <w:b/>
                <w:color w:val="FFFFFF"/>
              </w:rPr>
              <w:t xml:space="preserve">销量（件）</w:t>
            </w:r>
          </w:p>
        </w:tc>
        <w:tc>
          <w:tcPr>
            <w:shd w:val="clear" w:fill="1F4E79"/>
          </w:tcPr>
          <w:p w14:paraId="00100122" w14:textId="00100165">
            <w:r>
              <w:rPr>
                <w:b/>
                <w:color w:val="FFFFFF"/>
              </w:rPr>
              <w:t xml:space="preserve">订单数</w:t>
            </w:r>
          </w:p>
        </w:tc>
        <w:tc>
          <w:tcPr>
            <w:shd w:val="clear" w:fill="1F4E79"/>
          </w:tcPr>
          <w:p w14:paraId="00100124" w14:textId="00100166">
            <w:r>
              <w:rPr>
                <w:b/>
                <w:color w:val="FFFFFF"/>
              </w:rPr>
              <w:t xml:space="preserve">占比</w:t>
            </w:r>
          </w:p>
        </w:tc>
      </w:tr>
      <w:tr>
        <w:trPr/>
        <w:tc>
          <w:p w14:paraId="00100126" w14:textId="00100127">
            <w:r>
              <w:t xml:space="preserve">人体工学椅</w:t>
            </w:r>
          </w:p>
        </w:tc>
        <w:tc>
          <w:p w14:paraId="00100128" w14:textId="00100129">
            <w:r>
              <w:t xml:space="preserve">165,213</w:t>
            </w:r>
          </w:p>
        </w:tc>
        <w:tc>
          <w:p w14:paraId="0010012A" w14:textId="0010012B">
            <w:r>
              <w:t xml:space="preserve">87</w:t>
            </w:r>
          </w:p>
        </w:tc>
        <w:tc>
          <w:p w14:paraId="0010012C" w14:textId="0010012D">
            <w:r>
              <w:t xml:space="preserve">52</w:t>
            </w:r>
          </w:p>
        </w:tc>
        <w:tc>
          <w:p w14:paraId="0010012E" w14:textId="0010012F">
            <w:r>
              <w:t xml:space="preserve">39.7%</w:t>
            </w:r>
          </w:p>
        </w:tc>
      </w:tr>
      <w:tr>
        <w:trPr/>
        <w:tc>
          <w:p w14:paraId="00100130" w14:textId="00100131">
            <w:r>
              <w:t xml:space="preserve">电动升降桌</w:t>
            </w:r>
          </w:p>
        </w:tc>
        <w:tc>
          <w:p w14:paraId="00100132" w14:textId="00100133">
            <w:r>
              <w:t xml:space="preserve">69,972</w:t>
            </w:r>
          </w:p>
        </w:tc>
        <w:tc>
          <w:p w14:paraId="00100134" w14:textId="00100135">
            <w:r>
              <w:t xml:space="preserve">28</w:t>
            </w:r>
          </w:p>
        </w:tc>
        <w:tc>
          <w:p w14:paraId="00100136" w14:textId="00100137">
            <w:r>
              <w:t xml:space="preserve">21</w:t>
            </w:r>
          </w:p>
        </w:tc>
        <w:tc>
          <w:p w14:paraId="00100138" w14:textId="00100139">
            <w:r>
              <w:t xml:space="preserve">16.8%</w:t>
            </w:r>
          </w:p>
        </w:tc>
      </w:tr>
      <w:tr>
        <w:trPr/>
        <w:tc>
          <w:p w14:paraId="0010013A" w14:textId="0010013B">
            <w:r>
              <w:t xml:space="preserve">智能手表ProX</w:t>
            </w:r>
          </w:p>
        </w:tc>
        <w:tc>
          <w:p w14:paraId="0010013C" w14:textId="0010013D">
            <w:r>
              <w:t xml:space="preserve">67,548</w:t>
            </w:r>
          </w:p>
        </w:tc>
        <w:tc>
          <w:p w14:paraId="0010013E" w14:textId="0010013F">
            <w:r>
              <w:t xml:space="preserve">52</w:t>
            </w:r>
          </w:p>
        </w:tc>
        <w:tc>
          <w:p w14:paraId="00100140" w14:textId="00100141">
            <w:r>
              <w:t xml:space="preserve">36</w:t>
            </w:r>
          </w:p>
        </w:tc>
        <w:tc>
          <w:p w14:paraId="00100142" w14:textId="00100143">
            <w:r>
              <w:t xml:space="preserve">16.2%</w:t>
            </w:r>
          </w:p>
        </w:tc>
      </w:tr>
      <w:tr>
        <w:trPr/>
        <w:tc>
          <w:p w14:paraId="00100144" w14:textId="00100145">
            <w:r>
              <w:t xml:space="preserve">空气净化器S1</w:t>
            </w:r>
          </w:p>
        </w:tc>
        <w:tc>
          <w:p w14:paraId="00100146" w14:textId="00100147">
            <w:r>
              <w:t xml:space="preserve">60,762</w:t>
            </w:r>
          </w:p>
        </w:tc>
        <w:tc>
          <w:p w14:paraId="00100148" w14:textId="00100149">
            <w:r>
              <w:t xml:space="preserve">38</w:t>
            </w:r>
          </w:p>
        </w:tc>
        <w:tc>
          <w:p w14:paraId="0010014A" w14:textId="0010014B">
            <w:r>
              <w:t xml:space="preserve">23</w:t>
            </w:r>
          </w:p>
        </w:tc>
        <w:tc>
          <w:p w14:paraId="0010014C" w14:textId="0010014D">
            <w:r>
              <w:t xml:space="preserve">14.6%</w:t>
            </w:r>
          </w:p>
        </w:tc>
      </w:tr>
      <w:tr>
        <w:trPr/>
        <w:tc>
          <w:p w14:paraId="0010014E" w14:textId="0010014F">
            <w:r>
              <w:t xml:space="preserve">便携咖啡机</w:t>
            </w:r>
          </w:p>
        </w:tc>
        <w:tc>
          <w:p w14:paraId="00100150" w14:textId="00100151">
            <w:r>
              <w:t xml:space="preserve">31,465</w:t>
            </w:r>
          </w:p>
        </w:tc>
        <w:tc>
          <w:p w14:paraId="00100152" w14:textId="00100153">
            <w:r>
              <w:t xml:space="preserve">35</w:t>
            </w:r>
          </w:p>
        </w:tc>
        <w:tc>
          <w:p w14:paraId="00100154" w14:textId="00100155">
            <w:r>
              <w:t xml:space="preserve">22</w:t>
            </w:r>
          </w:p>
        </w:tc>
        <w:tc>
          <w:p w14:paraId="00100156" w14:textId="00100157">
            <w:r>
              <w:t xml:space="preserve">7.6%</w:t>
            </w:r>
          </w:p>
        </w:tc>
      </w:tr>
      <w:tr>
        <w:trPr/>
        <w:tc>
          <w:p w14:paraId="00100158" w14:textId="00100159">
            <w:r>
              <w:t xml:space="preserve">无线耳机Air</w:t>
            </w:r>
          </w:p>
        </w:tc>
        <w:tc>
          <w:p w14:paraId="0010015A" w14:textId="0010015B">
            <w:r>
              <w:t xml:space="preserve">20,958</w:t>
            </w:r>
          </w:p>
        </w:tc>
        <w:tc>
          <w:p w14:paraId="0010015C" w14:textId="0010015D">
            <w:r>
              <w:t xml:space="preserve">42</w:t>
            </w:r>
          </w:p>
        </w:tc>
        <w:tc>
          <w:p w14:paraId="0010015E" w14:textId="0010015F">
            <w:r>
              <w:t xml:space="preserve">26</w:t>
            </w:r>
          </w:p>
        </w:tc>
        <w:tc>
          <w:p w14:paraId="00100160" w14:textId="00100161">
            <w:r>
              <w:t xml:space="preserve">5.0%</w:t>
            </w:r>
          </w:p>
        </w:tc>
      </w:tr>
    </w:tbl>
    <w:p w14:paraId="00100167" w14:textId="00100168">
      <w:pPr>
        <w:jc w:val="center"/>
      </w:pPr>
      <w:r>
        <w:rPr/>
        <w:t xml:space="preserve"/>
      </w:r>
      <w:r>
        <w:drawing>
          <wp:inline distT="0" distB="0" distL="0" distR="0">
            <wp:extent cx="5400000" cy="3240000"/>
            <wp:effectExtent l="0" t="0" r="0" b="0"/>
            <wp:docPr id="4" name="Q2 单品销售额排行（元）"/>
            <wp:cNvGraphicFramePr/>
            <a:graphic>
              <a:graphicData uri="http://schemas.openxmlformats.org/drawingml/2006/chart">
                <c:chart xmlns:c="http://schemas.openxmlformats.org/drawingml/2006/chart" r:id="R16fa12044bb34a85"/>
              </a:graphicData>
            </a:graphic>
          </wp:inline>
        </w:drawing>
      </w:r>
    </w:p>
    <w:p w14:paraId="00100169" w14:textId="0010016A">
      <w:pPr>
        <w:spacing w:after="240"/>
        <w:jc w:val="center"/>
      </w:pPr>
      <w:r>
        <w:rPr>
          <w:i/>
          <w:color w:val="808080"/>
          <w:sz w:val="18"/>
        </w:rPr>
        <w:t xml:space="preserve">图4　Q2 单品销售额排行（数据来源：销售流水明细）</w:t>
      </w:r>
    </w:p>
    <w:p w14:paraId="0010016B" w14:textId="0010016C">
      <w:pPr>
        <w:pStyle w:val="Heading2"/>
      </w:pPr>
      <w:r>
        <w:rPr/>
        <w:t xml:space="preserve">4.3 产品洞察</w:t>
      </w:r>
    </w:p>
    <w:p w14:paraId="0010016D" w14:textId="0010016E">
      <w:pPr>
        <w:spacing w:after="200" w:line="360" w:lineRule="auto"/>
      </w:pPr>
      <w:r>
        <w:rPr>
          <w:sz w:val="22"/>
        </w:rPr>
        <w:t xml:space="preserve">家居品类（人体工学椅、电动升降桌）合计占比达 56.5%，是业绩基本盘，但也意味着结构较为集中、抗风险能力偏弱。数码品类中，无线耳机Air 虽售出 42 件、居销量前列，但因单价仅 499 元，销售额贡献最低（5.0%）；智能手表ProX 则以较高单价实现 16.2% 的销售额，是数码品类的价值主力。便携咖啡机销售额垫底品类之一，需评估其市场定位与推广投入产出比。</w:t>
      </w:r>
    </w:p>
    <w:p w14:paraId="0010016F" w14:textId="00100170">
      <w:pPr>
        <w:pStyle w:val="Heading1"/>
      </w:pPr>
      <w:r>
        <w:rPr/>
        <w:t xml:space="preserve">五、问题与建议</w:t>
      </w:r>
    </w:p>
    <w:p w14:paraId="00100171" w14:textId="00100172">
      <w:pPr>
        <w:pStyle w:val="Heading2"/>
      </w:pPr>
      <w:r>
        <w:rPr/>
        <w:t xml:space="preserve">5.1 主要问题</w:t>
      </w:r>
    </w:p>
    <w:p w14:paraId="00100173" w14:textId="00100174">
      <w:pPr>
        <w:numPr>
          <w:ilvl w:val="0"/>
          <w:numId w:val="1"/>
        </w:numPr>
        <w:spacing w:after="120" w:line="360" w:lineRule="auto"/>
      </w:pPr>
      <w:r>
        <w:rPr>
          <w:sz w:val="22"/>
        </w:rPr>
        <w:t xml:space="preserve">业绩结构过度集中：家居品类占比 56.5%，其中人体工学椅单品即占 39.7%，一旦该单品供应或价格波动，将直接冲击整体业绩。</w:t>
      </w:r>
    </w:p>
    <w:p w14:paraId="00100175" w14:textId="00100176">
      <w:pPr>
        <w:numPr>
          <w:ilvl w:val="0"/>
          <w:numId w:val="1"/>
        </w:numPr>
        <w:spacing w:after="120" w:line="360" w:lineRule="auto"/>
      </w:pPr>
      <w:r>
        <w:rPr>
          <w:sz w:val="22"/>
        </w:rPr>
        <w:t xml:space="preserve">区域发展不均衡：广州销售额（50,064 元）仅为深圳的 57.8%，客单价（2,003 元）全域最低，市场潜力尚未充分释放。</w:t>
      </w:r>
    </w:p>
    <w:p w14:paraId="00100177" w14:textId="00100178">
      <w:pPr>
        <w:numPr>
          <w:ilvl w:val="0"/>
          <w:numId w:val="1"/>
        </w:numPr>
        <w:spacing w:after="120" w:line="360" w:lineRule="auto"/>
      </w:pPr>
      <w:r>
        <w:rPr>
          <w:sz w:val="22"/>
        </w:rPr>
        <w:t xml:space="preserve">退款与赠品损耗：季度内出现退款订单 8 笔、涉及金额 25,483 元；赠品订单 5 笔、金额 11,794 元，合计约占季度销售额的 9.0%，需关注退款成因与赠品投放效率。</w:t>
      </w:r>
    </w:p>
    <w:p w14:paraId="00100179" w14:textId="0010017A">
      <w:pPr>
        <w:numPr>
          <w:ilvl w:val="0"/>
          <w:numId w:val="1"/>
        </w:numPr>
        <w:spacing w:after="200" w:line="360" w:lineRule="auto"/>
      </w:pPr>
      <w:r>
        <w:rPr>
          <w:sz w:val="22"/>
        </w:rPr>
        <w:t xml:space="preserve">低价单品拉低效率：无线耳机Air、便携咖啡机销量不低但销售额贡献有限（合计 12.6%），占用备货与运营资源却产出偏低。</w:t>
      </w:r>
    </w:p>
    <w:p w14:paraId="0010017B" w14:textId="0010017C">
      <w:pPr>
        <w:pStyle w:val="Heading2"/>
      </w:pPr>
      <w:r>
        <w:rPr/>
        <w:t xml:space="preserve">5.2 改进建议</w:t>
      </w:r>
    </w:p>
    <w:p w14:paraId="0010017D" w14:textId="0010017E">
      <w:pPr>
        <w:numPr>
          <w:ilvl w:val="0"/>
          <w:numId w:val="2"/>
        </w:numPr>
        <w:spacing w:after="120" w:line="360" w:lineRule="auto"/>
      </w:pPr>
      <w:r>
        <w:rPr>
          <w:sz w:val="22"/>
        </w:rPr>
        <w:t xml:space="preserve">优化品类结构：在巩固人体工学椅、电动升降桌等家居优势的同时，加大数码与家电中高客单价单品（如智能手表ProX、空气净化器S1）的推广力度，降低对单一品类的依赖。</w:t>
      </w:r>
    </w:p>
    <w:p w14:paraId="0010017F" w14:textId="00100180">
      <w:pPr>
        <w:numPr>
          <w:ilvl w:val="0"/>
          <w:numId w:val="2"/>
        </w:numPr>
        <w:spacing w:after="120" w:line="360" w:lineRule="auto"/>
      </w:pPr>
      <w:r>
        <w:rPr>
          <w:sz w:val="22"/>
        </w:rPr>
        <w:t xml:space="preserve">激活弱势区域：针对广州、北京设立专项增长目标，结合本地化营销与线下门店体验，提升客单价与转化率，力争 Q3 广州销售额环比增长 15% 以上。</w:t>
      </w:r>
    </w:p>
    <w:p w14:paraId="00100181" w14:textId="00100182">
      <w:pPr>
        <w:numPr>
          <w:ilvl w:val="0"/>
          <w:numId w:val="2"/>
        </w:numPr>
        <w:spacing w:after="120" w:line="360" w:lineRule="auto"/>
      </w:pPr>
      <w:r>
        <w:rPr>
          <w:sz w:val="22"/>
        </w:rPr>
        <w:t xml:space="preserve">放大高效渠道：天猫、线下门店客单价领先，应倾斜资源保持增长；抖音渠道体量小但潜力大，可加大内容种草与直播投入，培育增量。</w:t>
      </w:r>
    </w:p>
    <w:p w14:paraId="00100183" w14:textId="00100184">
      <w:pPr>
        <w:numPr>
          <w:ilvl w:val="0"/>
          <w:numId w:val="2"/>
        </w:numPr>
        <w:spacing w:after="120" w:line="360" w:lineRule="auto"/>
      </w:pPr>
      <w:r>
        <w:rPr>
          <w:sz w:val="22"/>
        </w:rPr>
        <w:t xml:space="preserve">控制损耗：建立退款根因分析机制，针对高退款商品优化描述与品控；量化赠品投放的转化贡献，剔除低效赠品活动。</w:t>
      </w:r>
    </w:p>
    <w:p w14:paraId="0010019B" w14:textId="0010019D">
      <w:pPr>
        <w:numPr>
          <w:ilvl w:val="0"/>
          <w:numId w:val="2"/>
        </w:numPr>
        <w:spacing w:after="120" w:line="360" w:lineRule="auto"/>
      </w:pPr>
      <w:r>
        <w:rPr>
          <w:sz w:val="22"/>
        </w:rPr>
        <w:t xml:space="preserve">兼顾杭州线下渠道：杭州线上表现亮眼（官网、天猫合计超 5 万元），但线下门店全季仅成交 1 笔、1,899 元，为六城最低。建议在保持线上优势的同时，适度关注杭州门店的选品与客流引导，让线下渠道更好地承接高客单价商品的体验需求，进一步释放该市场的整体潜力。</w:t>
      </w:r>
    </w:p>
    <w:p w14:paraId="00100185" w14:textId="00100186">
      <w:pPr>
        <w:numPr>
          <w:ilvl w:val="0"/>
          <w:numId w:val="2"/>
        </w:numPr>
        <w:spacing w:after="240" w:line="360" w:lineRule="auto"/>
      </w:pPr>
      <w:r>
        <w:rPr>
          <w:sz w:val="22"/>
        </w:rPr>
        <w:t xml:space="preserve">延续增长动能：Q2 逐月增长态势良好（6月环比 +12.2%），Q3 应把握暑期与开学季节点，制定冲量计划，力争季度销售额突破 45 万元。</w:t>
      </w:r>
    </w:p>
    <w:p w14:paraId="00100187" w14:textId="00100189">
      <w:pPr>
        <w:pBdr>
          <w:bottom w:val="single" w:color="BFBFBF" w:sz="6"/>
        </w:pBdr>
        <w:spacing w:after="120"/>
      </w:pPr>
      <w:r>
        <w:rPr/>
        <w:t xml:space="preserve"/>
      </w:r>
    </w:p>
    <w:p w14:paraId="0010018A" w14:textId="0010018B">
      <w:pPr>
        <w:spacing w:before="120" w:after="80"/>
      </w:pPr>
      <w:r>
        <w:rPr>
          <w:color w:val="808080"/>
          <w:sz w:val="18"/>
        </w:rPr>
        <w:t xml:space="preserve">本报告数据来源于《Q2销售流水》原始明细及数据透视表、汇总表，统计口径为 2026 年 4 月 1 日至 6 月 30 日全部成交记录。</w:t>
      </w:r>
    </w:p>
    <w:p w14:paraId="0010018C" w14:textId="0010019E">
      <w:pPr/>
      <w:r>
        <w:rPr>
          <w:color w:val="808080"/>
          <w:sz w:val="18"/>
        </w:rPr>
        <w:t xml:space="preserve">编制：星河科技销售部　　报告日期：2026 年 7 月 29 日</w:t>
      </w:r>
    </w:p>
    <w:sectPr>
      <w:footerReference w:type="default" r:id="R8b2a3b40fe4d4786"/>
      <w:pgSz w:w="11906" w:h="16838"/>
      <w:pgMar w:top="1440" w:right="1800" w:bottom="1440" w:left="180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91" w14:textId="00100194">
    <w:pPr>
      <w:jc w:val="center"/>
    </w:pPr>
    <w:r>
      <w:rPr>
        <w:color w:val="808080"/>
        <w:sz w:val="18"/>
      </w:rPr>
      <w:t xml:space="preserve">第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页</w:t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8E" w14:textId="00100190">
    <w:pPr>
      <w:pBdr>
        <w:bottom w:val="single" w:color="BFBFBF" w:sz="4"/>
      </w:pBdr>
      <w:jc w:val="right"/>
    </w:pPr>
    <w:r>
      <w:rPr>
        <w:color w:val="808080"/>
        <w:sz w:val="18"/>
      </w:rPr>
      <w:t xml:space="preserve">星河科技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evenAndOddHeaders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等线" w:hAnsi="等线" w:eastAsia="等线" w:cs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spacing w:before="240" w:after="240"/>
      <w:outlineLvl xmlns:w="http://schemas.openxmlformats.org/wordprocessingml/2006/main" w:val="0"/>
    </w:pPr>
    <w:rPr>
      <w:b/>
      <w:color w:val="1F4E79"/>
      <w:sz w:val="40"/>
    </w:rPr>
  </w:style>
  <w:style w:type="paragraph" w:styleId="Heading2">
    <w:name w:val="heading 2"/>
    <w:basedOn w:val="Normal"/>
    <w:next w:val="Normal"/>
    <w:qFormat/>
    <w:pPr>
      <w:spacing w:before="200" w:after="160"/>
      <w:outlineLvl xmlns:w="http://schemas.openxmlformats.org/wordprocessingml/2006/main" w:val="1"/>
    </w:pPr>
    <w:rPr>
      <w:b/>
      <w:color w:val="1F4E79"/>
      <w:sz w:val="28"/>
    </w:rPr>
  </w:style>
  <w:style w:type="paragraph" w:styleId="Heading3">
    <w:name w:val="heading 3"/>
    <w:basedOn w:val="Normal"/>
    <w:next w:val="Normal"/>
    <w:qFormat/>
    <w:pPr>
      <w:spacing w:before="160" w:after="120"/>
      <w:outlineLvl xmlns:w="http://schemas.openxmlformats.org/wordprocessingml/2006/main" w:val="2"/>
    </w:pPr>
    <w:rPr>
      <w:b/>
      <w:color w:val="404040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c52d070049a4bb2" /><Relationship Type="http://schemas.openxmlformats.org/officeDocument/2006/relationships/styles" Target="/word/styles.xml" Id="Rcb0bcc72fbdf4f5d" /><Relationship Type="http://schemas.openxmlformats.org/officeDocument/2006/relationships/theme" Target="/word/theme/theme1.xml" Id="R8e1a039b50aa40b4" /><Relationship Type="http://schemas.openxmlformats.org/officeDocument/2006/relationships/numbering" Target="/word/numbering.xml" Id="Rf27b3590dc6c40e4" /><Relationship Type="http://schemas.openxmlformats.org/officeDocument/2006/relationships/chart" Target="/word/charts/chart1.xml" Id="R3377217708694851" /><Relationship Type="http://schemas.openxmlformats.org/officeDocument/2006/relationships/chart" Target="/word/charts/chart2.xml" Id="R37e8b5ed6c0e4610" /><Relationship Type="http://schemas.openxmlformats.org/officeDocument/2006/relationships/chart" Target="/word/charts/chart3.xml" Id="R8f78055b97194445" /><Relationship Type="http://schemas.openxmlformats.org/officeDocument/2006/relationships/chart" Target="/word/charts/chart4.xml" Id="R16fa12044bb34a85" /><Relationship Type="http://schemas.openxmlformats.org/officeDocument/2006/relationships/header" Target="/word/header1.xml" Id="R5dcec2fed4284c73" /><Relationship Type="http://schemas.openxmlformats.org/officeDocument/2006/relationships/footer" Target="/word/footer1.xml" Id="R8b2a3b40fe4d4786" /></Relationships>
</file>

<file path=word/charts/chart1.xml><?xml version="1.0" encoding="utf-8"?>
<c:chartSpace xmlns:a="http://schemas.openxmlformats.org/drawingml/2006/main"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Q2 月度销售额趋势（元）</a:t>
            </a:r>
          </a:p>
        </c:rich>
      </c:tx>
      <c:overlay val="0"/>
    </c:title>
    <c:plotArea>
      <c:layout/>
      <c:barChart>
        <c:barDir val="col"/>
        <c:grouping val="clustered"/>
        <c:varyColors val="0"/>
        <c:ser>
          <c:idx val="0"/>
          <c:order val="0"/>
          <c:tx>
            <c:v>销售额</c:v>
          </c:tx>
          <c:spPr>
            <a:solidFill xmlns:a="http://schemas.openxmlformats.org/drawingml/2006/main">
              <a:srgbClr val="1F4E79"/>
            </a:solidFill>
          </c:spPr>
          <c:invertIfNegative val="0"/>
          <c:cat>
            <c:strLit>
              <c:ptCount val="3"/>
              <c:pt idx="0">
                <c:v>4月</c:v>
              </c:pt>
              <c:pt idx="1">
                <c:v>5月</c:v>
              </c:pt>
              <c:pt idx="2">
                <c:v>6月</c:v>
              </c:pt>
            </c:strLit>
          </c:cat>
          <c:val>
            <c:numLit>
              <c:formatCode>General</c:formatCode>
              <c:ptCount val="3"/>
              <c:pt idx="0">
                <c:v>126619</c:v>
              </c:pt>
              <c:pt idx="1">
                <c:v>136305</c:v>
              </c:pt>
              <c:pt idx="2">
                <c:v>152994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2.xml><?xml version="1.0" encoding="utf-8"?>
<c:chartSpace xmlns:a="http://schemas.openxmlformats.org/drawingml/2006/main"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Q2 各城市销售额对比（元）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销售额</c:v>
          </c:tx>
          <c:spPr>
            <a:solidFill xmlns:a="http://schemas.openxmlformats.org/drawingml/2006/main">
              <a:srgbClr val="2E75B6"/>
            </a:solidFill>
          </c:spPr>
          <c:invertIfNegative val="0"/>
          <c:cat>
            <c:strLit>
              <c:ptCount val="6"/>
              <c:pt idx="0">
                <c:v>广州</c:v>
              </c:pt>
              <c:pt idx="1">
                <c:v>北京</c:v>
              </c:pt>
              <c:pt idx="2">
                <c:v>成都</c:v>
              </c:pt>
              <c:pt idx="3">
                <c:v>杭州</c:v>
              </c:pt>
              <c:pt idx="4">
                <c:v>上海</c:v>
              </c:pt>
              <c:pt idx="5">
                <c:v>深圳</c:v>
              </c:pt>
            </c:strLit>
          </c:cat>
          <c:val>
            <c:numLit>
              <c:formatCode>General</c:formatCode>
              <c:ptCount val="6"/>
              <c:pt idx="0">
                <c:v>50064</c:v>
              </c:pt>
              <c:pt idx="1">
                <c:v>62653</c:v>
              </c:pt>
              <c:pt idx="2">
                <c:v>70054</c:v>
              </c:pt>
              <c:pt idx="3">
                <c:v>72348</c:v>
              </c:pt>
              <c:pt idx="4">
                <c:v>74257</c:v>
              </c:pt>
              <c:pt idx="5">
                <c:v>86542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3.xml><?xml version="1.0" encoding="utf-8"?>
<c:chartSpace xmlns:a="http://schemas.openxmlformats.org/drawingml/2006/main"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Q2 各渠道销售额占比</a:t>
            </a:r>
          </a:p>
        </c:rich>
      </c:tx>
      <c:overlay val="0"/>
    </c:title>
    <c:plotArea>
      <c:layout/>
      <c:pieChart>
        <c:varyColors val="1"/>
        <c:ser>
          <c:idx val="0"/>
          <c:order val="0"/>
          <c:tx>
            <c:v>销售额</c:v>
          </c:tx>
          <c:cat>
            <c:strLit>
              <c:ptCount val="5"/>
              <c:pt idx="0">
                <c:v>天猫</c:v>
              </c:pt>
              <c:pt idx="1">
                <c:v>线下门店</c:v>
              </c:pt>
              <c:pt idx="2">
                <c:v>官网</c:v>
              </c:pt>
              <c:pt idx="3">
                <c:v>京东</c:v>
              </c:pt>
              <c:pt idx="4">
                <c:v>抖音</c:v>
              </c:pt>
            </c:strLit>
          </c:cat>
          <c:val>
            <c:numLit>
              <c:formatCode>General</c:formatCode>
              <c:ptCount val="5"/>
              <c:pt idx="0">
                <c:v>103624</c:v>
              </c:pt>
              <c:pt idx="1">
                <c:v>92344</c:v>
              </c:pt>
              <c:pt idx="2">
                <c:v>81839</c:v>
              </c:pt>
              <c:pt idx="3">
                <c:v>70956</c:v>
              </c:pt>
              <c:pt idx="4">
                <c:v>67155</c:v>
              </c:pt>
            </c:numLit>
          </c:val>
        </c:ser>
        <c:dLbls>
          <c:showLegendKey val="0"/>
          <c:showVal val="0"/>
          <c:showCatName val="0"/>
          <c:showSerName val="0"/>
          <c:showPercent val="1"/>
        </c:dLbls>
      </c:pieChart>
    </c:plotArea>
    <c:legend>
      <c:legendPos val="b"/>
      <c:overlay val="0"/>
    </c:legend>
    <c:plotVisOnly val="1"/>
    <c:dispBlanksAs val="gap"/>
  </c:chart>
</c:chartSpace>
</file>

<file path=word/charts/chart4.xml><?xml version="1.0" encoding="utf-8"?>
<c:chartSpace xmlns:a="http://schemas.openxmlformats.org/drawingml/2006/main"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Q2 单品销售额排行（元）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销售额</c:v>
          </c:tx>
          <c:spPr>
            <a:solidFill xmlns:a="http://schemas.openxmlformats.org/drawingml/2006/main">
              <a:srgbClr val="C55A11"/>
            </a:solidFill>
          </c:spPr>
          <c:invertIfNegative val="0"/>
          <c:cat>
            <c:strLit>
              <c:ptCount val="6"/>
              <c:pt idx="0">
                <c:v>无线耳机Air</c:v>
              </c:pt>
              <c:pt idx="1">
                <c:v>便携咖啡机</c:v>
              </c:pt>
              <c:pt idx="2">
                <c:v>空气净化器S1</c:v>
              </c:pt>
              <c:pt idx="3">
                <c:v>智能手表ProX</c:v>
              </c:pt>
              <c:pt idx="4">
                <c:v>电动升降桌</c:v>
              </c:pt>
              <c:pt idx="5">
                <c:v>人体工学椅</c:v>
              </c:pt>
            </c:strLit>
          </c:cat>
          <c:val>
            <c:numLit>
              <c:formatCode>General</c:formatCode>
              <c:ptCount val="6"/>
              <c:pt idx="0">
                <c:v>20958</c:v>
              </c:pt>
              <c:pt idx="1">
                <c:v>31465</c:v>
              </c:pt>
              <c:pt idx="2">
                <c:v>60762</c:v>
              </c:pt>
              <c:pt idx="3">
                <c:v>67548</c:v>
              </c:pt>
              <c:pt idx="4">
                <c:v>69972</c:v>
              </c:pt>
              <c:pt idx="5">
                <c:v>165213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2026-07-29T14:44:28Z</dcterms:created>
  <cp:lastModifiedBy>OfficeCLI</cp:lastModifiedBy>
  <dcterms:modified xsi:type="dcterms:W3CDTF">2026-07-29T14:44:28Z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2026-07-30T01:55:10Z</vt:lpwstr>
  </op:property>
</op:Properties>
</file>